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rPr>
          <w:trHeight w:val="12800" w:hRule="atLeast"/>
        </w:trPr>
        <w:tc>
          <w:tcPr>
            <w:shd w:fill="0A0C0F" w:val="clear"/>
            <w:tcMar>
              <w:top w:type="dxa" w:w="600"/>
              <w:left w:type="dxa" w:w="500"/>
              <w:bottom w:type="dxa" w:w="600"/>
              <w:right w:type="dxa" w:w="5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2A900"/>
                <w:sz w:val="17"/>
                <w:szCs w:val="17"/>
              </w:rPr>
              <w:t xml:space="preserve">UNCLASSIFIED // FOR DEMONSTRATION</w:t>
            </w:r>
          </w:p>
          <w:p>
            <w:pPr>
              <w:spacing w:after="1600"/>
            </w:pPr>
          </w:p>
          <w:p>
            <w:pPr>
              <w:spacing w:after="0" w:before="0"/>
              <w:jc w:val="center"/>
            </w:pPr>
            <w:r>
              <w:rPr>
                <w:rFonts w:ascii="Segoe UI" w:cs="Segoe UI" w:eastAsia="Segoe UI" w:hAnsi="Segoe UI"/>
                <w:b/>
                <w:bCs/>
                <w:color w:val="E6E8EB"/>
                <w:sz w:val="30"/>
                <w:szCs w:val="30"/>
              </w:rPr>
              <w:t xml:space="preserve">THE GIDEON CORP.</w:t>
            </w:r>
          </w:p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8B949E"/>
                <w:sz w:val="14"/>
                <w:szCs w:val="14"/>
              </w:rPr>
              <w:t xml:space="preserve">S O V E R E I G N   O P E R A T O R   A T   M I S S I O N   S P E E D</w:t>
            </w:r>
          </w:p>
          <w:p>
            <w:pPr>
              <w:spacing w:after="900"/>
            </w:pPr>
          </w:p>
          <w:p>
            <w:pPr>
              <w:spacing w:after="0" w:before="0"/>
              <w:jc w:val="center"/>
            </w:pPr>
            <w:r>
              <w:rPr>
                <w:rFonts w:ascii="Segoe UI" w:cs="Segoe UI" w:eastAsia="Segoe UI" w:hAnsi="Segoe UI"/>
                <w:b/>
                <w:bCs/>
                <w:color w:val="F2A900"/>
                <w:sz w:val="56"/>
                <w:szCs w:val="56"/>
              </w:rPr>
              <w:t xml:space="preserve">COUNTRY DEMAND STUDY</w:t>
            </w:r>
          </w:p>
          <w:p>
            <w:pPr>
              <w:spacing w:after="0" w:before="0"/>
              <w:jc w:val="center"/>
            </w:pPr>
            <w:r>
              <w:rPr>
                <w:rFonts w:ascii="Segoe UI" w:cs="Segoe UI" w:eastAsia="Segoe UI" w:hAnsi="Segoe UI"/>
                <w:color w:val="E6E8EB"/>
                <w:sz w:val="26"/>
                <w:szCs w:val="26"/>
              </w:rPr>
              <w:t xml:space="preserve">Defense Capability Demand &amp; Entry Risk — Indo-Pacific Theater</w:t>
            </w:r>
          </w:p>
          <w:p>
            <w:pPr>
              <w:spacing w:after="700"/>
            </w:pPr>
          </w:p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8B949E"/>
                <w:sz w:val="16"/>
                <w:szCs w:val="16"/>
              </w:rPr>
              <w:t xml:space="preserve">Counter-UAS  ·  Maritime Autonomy  ·  ISR &amp; Space  ·  C2 &amp; Secure Comms  ·  Precision Effects</w:t>
            </w:r>
          </w:p>
          <w:p>
            <w:pPr>
              <w:spacing w:after="1800"/>
            </w:pPr>
          </w:p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8B949E"/>
                <w:sz w:val="16"/>
                <w:szCs w:val="16"/>
              </w:rPr>
              <w:t xml:space="preserve">MARKET STUDY — DEMONSTRATION PRODUCT</w:t>
            </w:r>
          </w:p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8B949E"/>
                <w:sz w:val="16"/>
                <w:szCs w:val="16"/>
              </w:rPr>
              <w:t xml:space="preserve">12 JUNE 2026  ·  VERSION 1.0  ·  SYNTHETIC DATA (SEED 20260612)</w:t>
            </w:r>
          </w:p>
          <w:p>
            <w:pPr>
              <w:spacing w:after="1200"/>
            </w:pPr>
          </w:p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2A900"/>
                <w:sz w:val="17"/>
                <w:szCs w:val="17"/>
              </w:rPr>
              <w:t xml:space="preserve">UNCLASSIFIED // FOR DEMONSTRATION</w:t>
            </w:r>
          </w:p>
        </w:tc>
      </w:tr>
    </w:tbl>
    <w:p>
      <w:pPr>
        <w:sectPr>
          <w:pgSz w:w="11906" w:h="16838" w:orient="portrait"/>
          <w:pgMar w:top="700" w:right="800" w:bottom="700" w:left="800" w:header="708" w:footer="708" w:gutter="0"/>
          <w:pgNumType/>
          <w:docGrid w:linePitch="360"/>
        </w:sectPr>
      </w:pPr>
    </w:p>
    <w:p>
      <w:pPr>
        <w:pStyle w:val="Heading1"/>
        <w:keepNext/>
        <w:pageBreakBefore/>
        <w:pBdr>
          <w:bottom w:val="single" w:color="F2A900" w:sz="12"/>
        </w:pBdr>
        <w:spacing w:after="80" w:before="120"/>
      </w:pPr>
      <w:r>
        <w:rPr>
          <w:rFonts w:ascii="Segoe UI" w:cs="Segoe UI" w:eastAsia="Segoe UI" w:hAnsi="Segoe UI"/>
          <w:b/>
          <w:bCs/>
          <w:color w:val="12161C"/>
          <w:sz w:val="34"/>
          <w:szCs w:val="34"/>
        </w:rPr>
        <w:t xml:space="preserve">1 · Executive Summary &amp; Key Judgments</w:t>
      </w:r>
    </w:p>
    <w:p>
      <w:pPr>
        <w:spacing w:after="160" w:before="60" w:line="264"/>
      </w:pPr>
      <w:r>
        <w:rPr>
          <w:rFonts w:ascii="Segoe UI" w:cs="Segoe UI" w:eastAsia="Segoe UI" w:hAnsi="Segoe UI"/>
          <w:color w:val="1A1F26"/>
          <w:sz w:val="21"/>
          <w:szCs w:val="21"/>
        </w:rPr>
        <w:t xml:space="preserve">This study assesses demand for five defense capability areas across fourteen Indo-Pacific markets, pairing a 0–100 demand score with budget trajectory, acquisition-route, and five-dimension entry-risk analysis. It accompanies the interactive Demand &amp; Risk Map (index.html) and draws on the identical dataset.</w:t>
      </w:r>
    </w:p>
    <w:p>
      <w:pPr>
        <w:pStyle w:val="Heading2"/>
        <w:keepNext/>
        <w:spacing w:after="60" w:before="220"/>
      </w:pPr>
      <w:r>
        <w:rPr>
          <w:rFonts w:ascii="Segoe UI" w:cs="Segoe UI" w:eastAsia="Segoe UI" w:hAnsi="Segoe UI"/>
          <w:b/>
          <w:bCs/>
          <w:color w:val="12161C"/>
          <w:sz w:val="25"/>
          <w:szCs w:val="25"/>
        </w:rPr>
        <w:t xml:space="preserve">Key judgments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20"/>
          <w:szCs w:val="20"/>
        </w:rPr>
        <w:t xml:space="preserve">Demand is hottest in the first island chain. Taiwan (overall 88/100), Japan (81), Australia (79), and South Korea (74) account for the bulk of addressable near-term demand. Taiwan leads every asymmetric category but carries the region’s heaviest licensing and geopolitical risk.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20"/>
          <w:szCs w:val="20"/>
        </w:rPr>
        <w:t xml:space="preserve">Australia is the recommended first entry. It combines top-quartile demand (maritime autonomy 88/100), the region’s most permissive contracting environment for non-traditional vendors, AUKUS-eased technology release, and the lowest composite risk among major buyers.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20"/>
          <w:szCs w:val="20"/>
        </w:rPr>
        <w:t xml:space="preserve">Singapore is the proving ground. Small volumes, but a DSTA evaluation win is the most portable credibility asset in ASEAN.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20"/>
          <w:szCs w:val="20"/>
        </w:rPr>
        <w:t xml:space="preserve">Counter-UAS is the most uniform demand signal — scored 70+ in six markets, driven by DPRK incursions (Seoul), PLA gray-zone activity (Taipei, Tokyo), and border drone incidents (Delhi). It is the recommended lead capability in every account except Australia and New Zealand, where maritime autonomy leads.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20"/>
          <w:szCs w:val="20"/>
        </w:rPr>
        <w:t xml:space="preserve">The deepest risks are regulatory, not competitive. Indigenous-content regimes (India’s DAP thresholds, Indonesia’s TKDN, Korean offsets) and US licensing friction (Taiwan TSFD exposure) constrain entry more than incumbent competition in most markets.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20"/>
          <w:szCs w:val="20"/>
        </w:rPr>
        <w:t xml:space="preserve">Payment risk concentrates in the archipelagic south. The Philippines, Indonesia, Vietnam, and Papua New Guinea all carry High payment/offset risk; pursue donor-funded or security-assistance-financed structures rather than national-budget exposure.</w:t>
      </w:r>
    </w:p>
    <w:p>
      <w:pPr>
        <w:pStyle w:val="Heading1"/>
        <w:keepNext/>
        <w:pageBreakBefore/>
        <w:pBdr>
          <w:bottom w:val="single" w:color="F2A900" w:sz="12"/>
        </w:pBdr>
        <w:spacing w:after="80" w:before="120"/>
      </w:pPr>
      <w:r>
        <w:rPr>
          <w:rFonts w:ascii="Segoe UI" w:cs="Segoe UI" w:eastAsia="Segoe UI" w:hAnsi="Segoe UI"/>
          <w:b/>
          <w:bCs/>
          <w:color w:val="12161C"/>
          <w:sz w:val="34"/>
          <w:szCs w:val="34"/>
        </w:rPr>
        <w:t xml:space="preserve">2 · Methodology &amp; Data Note</w:t>
      </w:r>
    </w:p>
    <w:p>
      <w:pPr>
        <w:spacing w:after="60" w:before="60" w:line="264"/>
      </w:pPr>
      <w:r>
        <w:rPr>
          <w:rFonts w:ascii="Segoe UI" w:cs="Segoe UI" w:eastAsia="Segoe UI" w:hAnsi="Segoe UI"/>
          <w:b/>
          <w:bCs/>
          <w:color w:val="1A1F26"/>
          <w:sz w:val="21"/>
          <w:szCs w:val="21"/>
        </w:rPr>
        <w:t xml:space="preserve">Scope. </w:t>
      </w:r>
    </w:p>
    <w:p>
      <w:pPr>
        <w:spacing w:after="120" w:before="60" w:line="264"/>
      </w:pPr>
      <w:r>
        <w:rPr>
          <w:rFonts w:ascii="Segoe UI" w:cs="Segoe UI" w:eastAsia="Segoe UI" w:hAnsi="Segoe UI"/>
          <w:color w:val="1A1F26"/>
          <w:sz w:val="21"/>
          <w:szCs w:val="21"/>
        </w:rPr>
        <w:t xml:space="preserve">Fourteen markets (Japan, South Korea, Australia, Taiwan, Philippines, India, Indonesia, Vietnam, Singapore, Thailand, Malaysia, New Zealand, Brunei, Papua New Guinea) scored across five capability areas: Counter-UAS; Maritime Autonomy / USV; ISR &amp; Space; C2 &amp; Secure Comms; Precision Effects (Loitering).</w:t>
      </w:r>
    </w:p>
    <w:p>
      <w:pPr>
        <w:spacing w:after="60" w:before="60" w:line="264"/>
      </w:pPr>
      <w:r>
        <w:rPr>
          <w:rFonts w:ascii="Segoe UI" w:cs="Segoe UI" w:eastAsia="Segoe UI" w:hAnsi="Segoe UI"/>
          <w:b/>
          <w:bCs/>
          <w:color w:val="1A1F26"/>
          <w:sz w:val="21"/>
          <w:szCs w:val="21"/>
        </w:rPr>
        <w:t xml:space="preserve">Scoring. </w:t>
      </w:r>
    </w:p>
    <w:p>
      <w:pPr>
        <w:spacing w:after="120" w:before="60" w:line="264"/>
      </w:pPr>
      <w:r>
        <w:rPr>
          <w:rFonts w:ascii="Segoe UI" w:cs="Segoe UI" w:eastAsia="Segoe UI" w:hAnsi="Segoe UI"/>
          <w:color w:val="1A1F26"/>
          <w:sz w:val="21"/>
          <w:szCs w:val="21"/>
        </w:rPr>
        <w:t xml:space="preserve">Demand scores (0–100) blend stated requirements, budget trajectory, doctrine pull, and acquisition activity. Risk is scored Low/Medium/High across five dimensions: Political / Regulatory, Competitive Saturation, Operational / Logistics, Payment / Offset, Geo-tension. The composite risk index normalizes these to 0–100.</w:t>
      </w:r>
    </w:p>
    <w:p>
      <w:pPr>
        <w:spacing w:after="60" w:before="60" w:line="264"/>
      </w:pPr>
      <w:r>
        <w:rPr>
          <w:rFonts w:ascii="Segoe UI" w:cs="Segoe UI" w:eastAsia="Segoe UI" w:hAnsi="Segoe UI"/>
          <w:b/>
          <w:bCs/>
          <w:color w:val="B3261E"/>
          <w:sz w:val="21"/>
          <w:szCs w:val="21"/>
        </w:rPr>
        <w:t xml:space="preserve">Synthetic-demonstration disclosure. </w:t>
      </w:r>
    </w:p>
    <w:p>
      <w:pPr>
        <w:spacing w:after="120" w:before="60" w:line="264"/>
      </w:pPr>
      <w:r>
        <w:rPr>
          <w:rFonts w:ascii="Segoe UI" w:cs="Segoe UI" w:eastAsia="Segoe UI" w:hAnsi="Segoe UI"/>
          <w:color w:val="1A1F26"/>
          <w:sz w:val="21"/>
          <w:szCs w:val="21"/>
        </w:rPr>
        <w:t xml:space="preserve">Synthetic demonstration data. Demand scores, budget figures, and program names are illustrative composites — directionally anchored to public reporting but not real procurement intelligence. Budget trajectories are synthetic series anchored to the public direction of each country’s defense spending (e.g., Japan’s ~2%-of-GDP buildup, AUKUS-driven Australian growth, Taiwan’s special budgets). The dataset is seeded (20260612) and reproducible; a rebuild yields identical figures.</w:t>
      </w:r>
    </w:p>
    <w:p>
      <w:pPr>
        <w:spacing w:after="60" w:before="60" w:line="264"/>
      </w:pPr>
      <w:r>
        <w:rPr>
          <w:rFonts w:ascii="Segoe UI" w:cs="Segoe UI" w:eastAsia="Segoe UI" w:hAnsi="Segoe UI"/>
          <w:color w:val="1A1F26"/>
          <w:sz w:val="21"/>
          <w:szCs w:val="21"/>
        </w:rPr>
        <w:t xml:space="preserve">Anonymization. Program names are plausible composites; local partners are described as archetypes (e.g., “state-owned shipyard”) rather than named entities. No real company is implied to hold any specific vulnerability or position.</w:t>
      </w:r>
    </w:p>
    <w:p>
      <w:pPr>
        <w:pStyle w:val="Heading1"/>
        <w:keepNext/>
        <w:pageBreakBefore/>
        <w:pBdr>
          <w:bottom w:val="single" w:color="F2A900" w:sz="12"/>
        </w:pBdr>
        <w:spacing w:after="80" w:before="120"/>
      </w:pPr>
      <w:r>
        <w:rPr>
          <w:rFonts w:ascii="Segoe UI" w:cs="Segoe UI" w:eastAsia="Segoe UI" w:hAnsi="Segoe UI"/>
          <w:b/>
          <w:bCs/>
          <w:color w:val="12161C"/>
          <w:sz w:val="34"/>
          <w:szCs w:val="34"/>
        </w:rPr>
        <w:t xml:space="preserve">3 · Regional Demand Overview</w:t>
      </w:r>
    </w:p>
    <w:p>
      <w:pPr>
        <w:spacing w:after="140" w:before="60" w:line="264"/>
      </w:pPr>
      <w:r>
        <w:rPr>
          <w:rFonts w:ascii="Segoe UI" w:cs="Segoe UI" w:eastAsia="Segoe UI" w:hAnsi="Segoe UI"/>
          <w:color w:val="1A1F26"/>
          <w:sz w:val="21"/>
          <w:szCs w:val="21"/>
        </w:rPr>
        <w:t xml:space="preserve">The choropleth below shades each market by average demand across all five capabilities (brand sequential scale, 0–100). The interactive version re-shades by individual capability and exposes per-country drill-downs.</w:t>
      </w:r>
    </w:p>
    <w:p>
      <w:pPr>
        <w:spacing w:after="60"/>
        <w:jc w:val="center"/>
      </w:pPr>
      <w:r>
        <w:drawing>
          <wp:inline distT="0" distB="0" distL="0" distR="0">
            <wp:extent cx="6096000" cy="45529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60" w:line="264"/>
        <w:jc w:val="center"/>
      </w:pPr>
      <w:r>
        <w:rPr>
          <w:rFonts w:ascii="Segoe UI" w:cs="Segoe UI" w:eastAsia="Segoe UI" w:hAnsi="Segoe UI"/>
          <w:i/>
          <w:iCs/>
          <w:color w:val="6B7682"/>
          <w:sz w:val="16"/>
          <w:szCs w:val="16"/>
        </w:rPr>
        <w:t xml:space="preserve">Figure 1 — Demand &amp; Risk Map, all-capability average. Synthetic demonstration data.</w:t>
      </w:r>
    </w:p>
    <w:p>
      <w:pPr>
        <w:pStyle w:val="Heading2"/>
        <w:keepNext/>
        <w:spacing w:after="60" w:before="220"/>
      </w:pPr>
      <w:r>
        <w:rPr>
          <w:rFonts w:ascii="Segoe UI" w:cs="Segoe UI" w:eastAsia="Segoe UI" w:hAnsi="Segoe UI"/>
          <w:b/>
          <w:bCs/>
          <w:color w:val="12161C"/>
          <w:sz w:val="25"/>
          <w:szCs w:val="25"/>
        </w:rPr>
        <w:t xml:space="preserve">Ranked demand table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2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7"/>
                <w:szCs w:val="17"/>
              </w:rPr>
              <w:t xml:space="preserve">#</w:t>
            </w:r>
          </w:p>
        </w:tc>
        <w:tc>
          <w:tcPr>
            <w:tcW w:type="dxa" w:w="190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7"/>
                <w:szCs w:val="17"/>
              </w:rPr>
              <w:t xml:space="preserve">COUNTRY</w:t>
            </w:r>
          </w:p>
        </w:tc>
        <w:tc>
          <w:tcPr>
            <w:tcW w:type="dxa" w:w="110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2A900"/>
                <w:sz w:val="17"/>
                <w:szCs w:val="17"/>
              </w:rPr>
              <w:t xml:space="preserve">OVERALL</w:t>
            </w:r>
          </w:p>
        </w:tc>
        <w:tc>
          <w:tcPr>
            <w:tcW w:type="dxa" w:w="95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7"/>
                <w:szCs w:val="17"/>
              </w:rPr>
              <w:t xml:space="preserve">C-UAS</w:t>
            </w:r>
          </w:p>
        </w:tc>
        <w:tc>
          <w:tcPr>
            <w:tcW w:type="dxa" w:w="95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7"/>
                <w:szCs w:val="17"/>
              </w:rPr>
              <w:t xml:space="preserve">USV</w:t>
            </w:r>
          </w:p>
        </w:tc>
        <w:tc>
          <w:tcPr>
            <w:tcW w:type="dxa" w:w="95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7"/>
                <w:szCs w:val="17"/>
              </w:rPr>
              <w:t xml:space="preserve">ISR</w:t>
            </w:r>
          </w:p>
        </w:tc>
        <w:tc>
          <w:tcPr>
            <w:tcW w:type="dxa" w:w="95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7"/>
                <w:szCs w:val="17"/>
              </w:rPr>
              <w:t xml:space="preserve">C2</w:t>
            </w:r>
          </w:p>
        </w:tc>
        <w:tc>
          <w:tcPr>
            <w:tcW w:type="dxa" w:w="95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7"/>
                <w:szCs w:val="17"/>
              </w:rPr>
              <w:t xml:space="preserve">PE</w:t>
            </w:r>
          </w:p>
        </w:tc>
        <w:tc>
          <w:tcPr>
            <w:tcW w:type="dxa" w:w="95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7"/>
                <w:szCs w:val="17"/>
              </w:rPr>
              <w:t xml:space="preserve">RISK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color w:val="6B7682"/>
                <w:sz w:val="18"/>
                <w:szCs w:val="18"/>
              </w:rPr>
              <w:t xml:space="preserve">1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9"/>
                <w:szCs w:val="19"/>
              </w:rPr>
              <w:t xml:space="preserve">Taiwan  (TWN)</w:t>
            </w:r>
          </w:p>
        </w:tc>
        <w:tc>
          <w:tcPr>
            <w:shd w:fill="ED82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88</w:t>
            </w:r>
          </w:p>
        </w:tc>
        <w:tc>
          <w:tcPr>
            <w:shd w:fill="EA6F2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92</w:t>
            </w:r>
          </w:p>
        </w:tc>
        <w:tc>
          <w:tcPr>
            <w:shd w:fill="EB742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91</w:t>
            </w:r>
          </w:p>
        </w:tc>
        <w:tc>
          <w:tcPr>
            <w:shd w:fill="F09A0C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83</w:t>
            </w:r>
          </w:p>
        </w:tc>
        <w:tc>
          <w:tcPr>
            <w:shd w:fill="EF960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84</w:t>
            </w:r>
          </w:p>
        </w:tc>
        <w:tc>
          <w:tcPr>
            <w:shd w:fill="EA6F2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92</w:t>
            </w:r>
          </w:p>
        </w:tc>
        <w:tc>
          <w:tcPr>
            <w:shd w:fill="F2A90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color w:val="6B7682"/>
                <w:sz w:val="18"/>
                <w:szCs w:val="18"/>
              </w:rPr>
              <w:t xml:space="preserve">2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9"/>
                <w:szCs w:val="19"/>
              </w:rPr>
              <w:t xml:space="preserve">Japan  (JPN)</w:t>
            </w:r>
          </w:p>
        </w:tc>
        <w:tc>
          <w:tcPr>
            <w:shd w:fill="F1A40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81</w:t>
            </w:r>
          </w:p>
        </w:tc>
        <w:tc>
          <w:tcPr>
            <w:shd w:fill="F2A90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80</w:t>
            </w:r>
          </w:p>
        </w:tc>
        <w:tc>
          <w:tcPr>
            <w:shd w:fill="C4AE2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69</w:t>
            </w:r>
          </w:p>
        </w:tc>
        <w:tc>
          <w:tcPr>
            <w:shd w:fill="EF960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84</w:t>
            </w:r>
          </w:p>
        </w:tc>
        <w:tc>
          <w:tcPr>
            <w:shd w:fill="F19F0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82</w:t>
            </w:r>
          </w:p>
        </w:tc>
        <w:tc>
          <w:tcPr>
            <w:shd w:fill="EC792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90</w:t>
            </w:r>
          </w:p>
        </w:tc>
        <w:tc>
          <w:tcPr>
            <w:shd w:fill="9FB23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color w:val="6B7682"/>
                <w:sz w:val="18"/>
                <w:szCs w:val="18"/>
              </w:rPr>
              <w:t xml:space="preserve">3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9"/>
                <w:szCs w:val="19"/>
              </w:rPr>
              <w:t xml:space="preserve">Australia  (AUS)</w:t>
            </w:r>
          </w:p>
        </w:tc>
        <w:tc>
          <w:tcPr>
            <w:shd w:fill="EEA90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79</w:t>
            </w:r>
          </w:p>
        </w:tc>
        <w:tc>
          <w:tcPr>
            <w:shd w:fill="C4AE2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69</w:t>
            </w:r>
          </w:p>
        </w:tc>
        <w:tc>
          <w:tcPr>
            <w:shd w:fill="ED82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88</w:t>
            </w:r>
          </w:p>
        </w:tc>
        <w:tc>
          <w:tcPr>
            <w:shd w:fill="F2A90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80</w:t>
            </w:r>
          </w:p>
        </w:tc>
        <w:tc>
          <w:tcPr>
            <w:shd w:fill="EF960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84</w:t>
            </w:r>
          </w:p>
        </w:tc>
        <w:tc>
          <w:tcPr>
            <w:shd w:fill="D9AC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74</w:t>
            </w:r>
          </w:p>
        </w:tc>
        <w:tc>
          <w:tcPr>
            <w:shd w:fill="56904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47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color w:val="6B7682"/>
                <w:sz w:val="18"/>
                <w:szCs w:val="18"/>
              </w:rPr>
              <w:t xml:space="preserve">4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9"/>
                <w:szCs w:val="19"/>
              </w:rPr>
              <w:t xml:space="preserve">South Korea  (KOR)</w:t>
            </w:r>
          </w:p>
        </w:tc>
        <w:tc>
          <w:tcPr>
            <w:shd w:fill="D9AC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74</w:t>
            </w:r>
          </w:p>
        </w:tc>
        <w:tc>
          <w:tcPr>
            <w:shd w:fill="F09A0C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83</w:t>
            </w:r>
          </w:p>
        </w:tc>
        <w:tc>
          <w:tcPr>
            <w:shd w:fill="ABB13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63</w:t>
            </w:r>
          </w:p>
        </w:tc>
        <w:tc>
          <w:tcPr>
            <w:shd w:fill="EAAA0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78</w:t>
            </w:r>
          </w:p>
        </w:tc>
        <w:tc>
          <w:tcPr>
            <w:shd w:fill="DDAB0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75</w:t>
            </w:r>
          </w:p>
        </w:tc>
        <w:tc>
          <w:tcPr>
            <w:shd w:fill="C4AE2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69</w:t>
            </w:r>
          </w:p>
        </w:tc>
        <w:tc>
          <w:tcPr>
            <w:shd w:fill="D5AC1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73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color w:val="6B7682"/>
                <w:sz w:val="18"/>
                <w:szCs w:val="18"/>
              </w:rPr>
              <w:t xml:space="preserve">5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9"/>
                <w:szCs w:val="19"/>
              </w:rPr>
              <w:t xml:space="preserve">India  (IND)</w:t>
            </w:r>
          </w:p>
        </w:tc>
        <w:tc>
          <w:tcPr>
            <w:shd w:fill="D9AC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74</w:t>
            </w:r>
          </w:p>
        </w:tc>
        <w:tc>
          <w:tcPr>
            <w:shd w:fill="EEA90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79</w:t>
            </w:r>
          </w:p>
        </w:tc>
        <w:tc>
          <w:tcPr>
            <w:shd w:fill="C4AE2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69</w:t>
            </w:r>
          </w:p>
        </w:tc>
        <w:tc>
          <w:tcPr>
            <w:shd w:fill="E1AB0C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76</w:t>
            </w:r>
          </w:p>
        </w:tc>
        <w:tc>
          <w:tcPr>
            <w:shd w:fill="C4AE2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69</w:t>
            </w:r>
          </w:p>
        </w:tc>
        <w:tc>
          <w:tcPr>
            <w:shd w:fill="EAAA0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78</w:t>
            </w:r>
          </w:p>
        </w:tc>
        <w:tc>
          <w:tcPr>
            <w:shd w:fill="ED871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87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color w:val="6B7682"/>
                <w:sz w:val="18"/>
                <w:szCs w:val="18"/>
              </w:rPr>
              <w:t xml:space="preserve">6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9"/>
                <w:szCs w:val="19"/>
              </w:rPr>
              <w:t xml:space="preserve">Philippines  (PHL)</w:t>
            </w:r>
          </w:p>
        </w:tc>
        <w:tc>
          <w:tcPr>
            <w:shd w:fill="C4AE2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69</w:t>
            </w:r>
          </w:p>
        </w:tc>
        <w:tc>
          <w:tcPr>
            <w:shd w:fill="CDAD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71</w:t>
            </w:r>
          </w:p>
        </w:tc>
        <w:tc>
          <w:tcPr>
            <w:shd w:fill="D5AC1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73</w:t>
            </w:r>
          </w:p>
        </w:tc>
        <w:tc>
          <w:tcPr>
            <w:shd w:fill="D5AC1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73</w:t>
            </w:r>
          </w:p>
        </w:tc>
        <w:tc>
          <w:tcPr>
            <w:shd w:fill="B8AF2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66</w:t>
            </w:r>
          </w:p>
        </w:tc>
        <w:tc>
          <w:tcPr>
            <w:shd w:fill="A3B23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61</w:t>
            </w:r>
          </w:p>
        </w:tc>
        <w:tc>
          <w:tcPr>
            <w:shd w:fill="ED871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87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color w:val="6B7682"/>
                <w:sz w:val="18"/>
                <w:szCs w:val="18"/>
              </w:rPr>
              <w:t xml:space="preserve">7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9"/>
                <w:szCs w:val="19"/>
              </w:rPr>
              <w:t xml:space="preserve">Singapore  (SGP)</w:t>
            </w:r>
          </w:p>
        </w:tc>
        <w:tc>
          <w:tcPr>
            <w:shd w:fill="C4AE2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69</w:t>
            </w:r>
          </w:p>
        </w:tc>
        <w:tc>
          <w:tcPr>
            <w:shd w:fill="DDAB0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75</w:t>
            </w:r>
          </w:p>
        </w:tc>
        <w:tc>
          <w:tcPr>
            <w:shd w:fill="BCAF2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67</w:t>
            </w:r>
          </w:p>
        </w:tc>
        <w:tc>
          <w:tcPr>
            <w:shd w:fill="D9AC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74</w:t>
            </w:r>
          </w:p>
        </w:tc>
        <w:tc>
          <w:tcPr>
            <w:shd w:fill="EAAA0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78</w:t>
            </w:r>
          </w:p>
        </w:tc>
        <w:tc>
          <w:tcPr>
            <w:shd w:fill="729D4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52</w:t>
            </w:r>
          </w:p>
        </w:tc>
        <w:tc>
          <w:tcPr>
            <w:shd w:fill="56904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47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color w:val="6B7682"/>
                <w:sz w:val="18"/>
                <w:szCs w:val="18"/>
              </w:rPr>
              <w:t xml:space="preserve">8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9"/>
                <w:szCs w:val="19"/>
              </w:rPr>
              <w:t xml:space="preserve">Indonesia  (IDN)</w:t>
            </w:r>
          </w:p>
        </w:tc>
        <w:tc>
          <w:tcPr>
            <w:shd w:fill="8EAA3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57</w:t>
            </w:r>
          </w:p>
        </w:tc>
        <w:tc>
          <w:tcPr>
            <w:shd w:fill="8EAA3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57</w:t>
            </w:r>
          </w:p>
        </w:tc>
        <w:tc>
          <w:tcPr>
            <w:shd w:fill="99AF3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59</w:t>
            </w:r>
          </w:p>
        </w:tc>
        <w:tc>
          <w:tcPr>
            <w:shd w:fill="9FB23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60</w:t>
            </w:r>
          </w:p>
        </w:tc>
        <w:tc>
          <w:tcPr>
            <w:shd w:fill="83A53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55</w:t>
            </w:r>
          </w:p>
        </w:tc>
        <w:tc>
          <w:tcPr>
            <w:shd w:fill="779F4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53</w:t>
            </w:r>
          </w:p>
        </w:tc>
        <w:tc>
          <w:tcPr>
            <w:shd w:fill="F2A90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color w:val="6B7682"/>
                <w:sz w:val="18"/>
                <w:szCs w:val="18"/>
              </w:rPr>
              <w:t xml:space="preserve">9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9"/>
                <w:szCs w:val="19"/>
              </w:rPr>
              <w:t xml:space="preserve">Vietnam  (VNM)</w:t>
            </w:r>
          </w:p>
        </w:tc>
        <w:tc>
          <w:tcPr>
            <w:shd w:fill="83A53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55</w:t>
            </w:r>
          </w:p>
        </w:tc>
        <w:tc>
          <w:tcPr>
            <w:shd w:fill="779F4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53</w:t>
            </w:r>
          </w:p>
        </w:tc>
        <w:tc>
          <w:tcPr>
            <w:shd w:fill="99AF3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59</w:t>
            </w:r>
          </w:p>
        </w:tc>
        <w:tc>
          <w:tcPr>
            <w:shd w:fill="ABB13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63</w:t>
            </w:r>
          </w:p>
        </w:tc>
        <w:tc>
          <w:tcPr>
            <w:shd w:fill="61954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49</w:t>
            </w:r>
          </w:p>
        </w:tc>
        <w:tc>
          <w:tcPr>
            <w:shd w:fill="729D4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52</w:t>
            </w:r>
          </w:p>
        </w:tc>
        <w:tc>
          <w:tcPr>
            <w:shd w:fill="F2A90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color w:val="6B7682"/>
                <w:sz w:val="18"/>
                <w:szCs w:val="18"/>
              </w:rPr>
              <w:t xml:space="preserve">10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9"/>
                <w:szCs w:val="19"/>
              </w:rPr>
              <w:t xml:space="preserve">Malaysia  (MYS)</w:t>
            </w:r>
          </w:p>
        </w:tc>
        <w:tc>
          <w:tcPr>
            <w:shd w:fill="729D4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52</w:t>
            </w:r>
          </w:p>
        </w:tc>
        <w:tc>
          <w:tcPr>
            <w:shd w:fill="779F4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53</w:t>
            </w:r>
          </w:p>
        </w:tc>
        <w:tc>
          <w:tcPr>
            <w:shd w:fill="83A53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55</w:t>
            </w:r>
          </w:p>
        </w:tc>
        <w:tc>
          <w:tcPr>
            <w:shd w:fill="94AD3C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58</w:t>
            </w:r>
          </w:p>
        </w:tc>
        <w:tc>
          <w:tcPr>
            <w:shd w:fill="67984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50</w:t>
            </w:r>
          </w:p>
        </w:tc>
        <w:tc>
          <w:tcPr>
            <w:shd w:fill="3F854C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43</w:t>
            </w:r>
          </w:p>
        </w:tc>
        <w:tc>
          <w:tcPr>
            <w:shd w:fill="BCAF2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67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color w:val="6B7682"/>
                <w:sz w:val="18"/>
                <w:szCs w:val="18"/>
              </w:rPr>
              <w:t xml:space="preserve">11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9"/>
                <w:szCs w:val="19"/>
              </w:rPr>
              <w:t xml:space="preserve">New Zealand  (NZL)</w:t>
            </w:r>
          </w:p>
        </w:tc>
        <w:tc>
          <w:tcPr>
            <w:shd w:fill="5B924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48</w:t>
            </w:r>
          </w:p>
        </w:tc>
        <w:tc>
          <w:tcPr>
            <w:shd w:fill="2E7D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40</w:t>
            </w:r>
          </w:p>
        </w:tc>
        <w:tc>
          <w:tcPr>
            <w:shd w:fill="8EAA3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57</w:t>
            </w:r>
          </w:p>
        </w:tc>
        <w:tc>
          <w:tcPr>
            <w:shd w:fill="83A53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55</w:t>
            </w:r>
          </w:p>
        </w:tc>
        <w:tc>
          <w:tcPr>
            <w:shd w:fill="A7B13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62</w:t>
            </w:r>
          </w:p>
        </w:tc>
        <w:tc>
          <w:tcPr>
            <w:shd w:fill="1E5C4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28</w:t>
            </w:r>
          </w:p>
        </w:tc>
        <w:tc>
          <w:tcPr>
            <w:shd w:fill="2E7D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color w:val="6B7682"/>
                <w:sz w:val="18"/>
                <w:szCs w:val="18"/>
              </w:rPr>
              <w:t xml:space="preserve">12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9"/>
                <w:szCs w:val="19"/>
              </w:rPr>
              <w:t xml:space="preserve">Thailand  (THA)</w:t>
            </w:r>
          </w:p>
        </w:tc>
        <w:tc>
          <w:tcPr>
            <w:shd w:fill="508D4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46</w:t>
            </w:r>
          </w:p>
        </w:tc>
        <w:tc>
          <w:tcPr>
            <w:shd w:fill="67984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50</w:t>
            </w:r>
          </w:p>
        </w:tc>
        <w:tc>
          <w:tcPr>
            <w:shd w:fill="45884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44</w:t>
            </w:r>
          </w:p>
        </w:tc>
        <w:tc>
          <w:tcPr>
            <w:shd w:fill="779F4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53</w:t>
            </w:r>
          </w:p>
        </w:tc>
        <w:tc>
          <w:tcPr>
            <w:shd w:fill="5B924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48</w:t>
            </w:r>
          </w:p>
        </w:tc>
        <w:tc>
          <w:tcPr>
            <w:shd w:fill="29724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36</w:t>
            </w:r>
          </w:p>
        </w:tc>
        <w:tc>
          <w:tcPr>
            <w:shd w:fill="9FB23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color w:val="6B7682"/>
                <w:sz w:val="18"/>
                <w:szCs w:val="18"/>
              </w:rPr>
              <w:t xml:space="preserve">13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9"/>
                <w:szCs w:val="19"/>
              </w:rPr>
              <w:t xml:space="preserve">Brunei  (BRN)</w:t>
            </w:r>
          </w:p>
        </w:tc>
        <w:tc>
          <w:tcPr>
            <w:shd w:fill="266D4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34</w:t>
            </w:r>
          </w:p>
        </w:tc>
        <w:tc>
          <w:tcPr>
            <w:shd w:fill="256A4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33</w:t>
            </w:r>
          </w:p>
        </w:tc>
        <w:tc>
          <w:tcPr>
            <w:shd w:fill="34804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41</w:t>
            </w:r>
          </w:p>
        </w:tc>
        <w:tc>
          <w:tcPr>
            <w:shd w:fill="286F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35</w:t>
            </w:r>
          </w:p>
        </w:tc>
        <w:tc>
          <w:tcPr>
            <w:shd w:fill="2E7D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40</w:t>
            </w:r>
          </w:p>
        </w:tc>
        <w:tc>
          <w:tcPr>
            <w:shd w:fill="14463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20</w:t>
            </w:r>
          </w:p>
        </w:tc>
        <w:tc>
          <w:tcPr>
            <w:shd w:fill="56904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47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color w:val="6B7682"/>
                <w:sz w:val="18"/>
                <w:szCs w:val="18"/>
              </w:rPr>
              <w:t xml:space="preserve">14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9"/>
                <w:szCs w:val="19"/>
              </w:rPr>
              <w:t xml:space="preserve">Papua New Guinea  (PNG)</w:t>
            </w:r>
          </w:p>
        </w:tc>
        <w:tc>
          <w:tcPr>
            <w:shd w:fill="22644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31</w:t>
            </w:r>
          </w:p>
        </w:tc>
        <w:tc>
          <w:tcPr>
            <w:shd w:fill="184E3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23</w:t>
            </w:r>
          </w:p>
        </w:tc>
        <w:tc>
          <w:tcPr>
            <w:shd w:fill="2D7A4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39</w:t>
            </w:r>
          </w:p>
        </w:tc>
        <w:tc>
          <w:tcPr>
            <w:shd w:fill="2A754C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37</w:t>
            </w:r>
          </w:p>
        </w:tc>
        <w:tc>
          <w:tcPr>
            <w:shd w:fill="3F854C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43</w:t>
            </w:r>
          </w:p>
        </w:tc>
        <w:tc>
          <w:tcPr>
            <w:shd w:fill="14373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12</w:t>
            </w:r>
          </w:p>
        </w:tc>
        <w:tc>
          <w:tcPr>
            <w:shd w:fill="D5AC1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73</w:t>
            </w:r>
          </w:p>
        </w:tc>
      </w:tr>
    </w:tbl>
    <w:p>
      <w:pPr>
        <w:spacing w:after="60" w:before="80" w:line="264"/>
      </w:pPr>
      <w:r>
        <w:rPr>
          <w:rFonts w:ascii="Segoe UI" w:cs="Segoe UI" w:eastAsia="Segoe UI" w:hAnsi="Segoe UI"/>
          <w:i/>
          <w:iCs/>
          <w:color w:val="6B7682"/>
          <w:sz w:val="15"/>
          <w:szCs w:val="15"/>
        </w:rPr>
        <w:t xml:space="preserve">Capability codes: C-UAS = Counter-UAS · USV = Maritime Autonomy / USV · ISR = ISR &amp; Space · C2 = C2 &amp; Secure Comms · PE = Precision Effects (Loitering). RISK = composite risk index (higher is riskier).</w:t>
      </w:r>
    </w:p>
    <w:p>
      <w:pPr>
        <w:pStyle w:val="Heading1"/>
        <w:keepNext/>
        <w:pageBreakBefore/>
        <w:pBdr>
          <w:bottom w:val="single" w:color="F2A900" w:sz="12"/>
        </w:pBdr>
        <w:spacing w:after="80" w:before="120"/>
      </w:pPr>
      <w:r>
        <w:rPr>
          <w:rFonts w:ascii="Segoe UI" w:cs="Segoe UI" w:eastAsia="Segoe UI" w:hAnsi="Segoe UI"/>
          <w:b/>
          <w:bCs/>
          <w:color w:val="12161C"/>
          <w:sz w:val="34"/>
          <w:szCs w:val="34"/>
        </w:rPr>
        <w:t xml:space="preserve">4 · Country Profiles</w:t>
      </w:r>
    </w:p>
    <w:p>
      <w:pPr>
        <w:spacing w:after="120" w:before="60" w:line="264"/>
      </w:pPr>
      <w:r>
        <w:rPr>
          <w:rFonts w:ascii="Segoe UI" w:cs="Segoe UI" w:eastAsia="Segoe UI" w:hAnsi="Segoe UI"/>
          <w:color w:val="1A1F26"/>
          <w:sz w:val="21"/>
          <w:szCs w:val="21"/>
        </w:rPr>
        <w:t xml:space="preserve">Profiles are ordered by overall demand. Scores per capability appear in the heat strip; the recommendation is The Gideon Corp.’s suggested entry posture for that market.</w:t>
      </w:r>
    </w:p>
    <w:p>
      <w:pPr>
        <w:keepNext/>
        <w:pBdr>
          <w:bottom w:val="single" w:color="F2A900" w:sz="10"/>
        </w:pBdr>
        <w:spacing w:after="60" w:before="0"/>
      </w:pPr>
      <w:r>
        <w:rPr>
          <w:rFonts w:ascii="Segoe UI" w:cs="Segoe UI" w:eastAsia="Segoe UI" w:hAnsi="Segoe UI"/>
          <w:b/>
          <w:bCs/>
          <w:color w:val="12161C"/>
          <w:sz w:val="28"/>
          <w:szCs w:val="28"/>
        </w:rPr>
        <w:t xml:space="preserve">TAIWAN  </w:t>
      </w:r>
      <w:r>
        <w:rPr>
          <w:rFonts w:ascii="Consolas" w:cs="Consolas" w:eastAsia="Consolas" w:hAnsi="Consolas"/>
          <w:color w:val="6B7682"/>
          <w:sz w:val="16"/>
          <w:szCs w:val="16"/>
        </w:rPr>
        <w:t xml:space="preserve">TWN  ·  OVERALL 88/100  ·  RISK 80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C-UAS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USV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ISR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C2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PE</w:t>
            </w:r>
          </w:p>
        </w:tc>
      </w:tr>
      <w:tr>
        <w:tc>
          <w:tcPr>
            <w:shd w:fill="EA6F2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92</w:t>
            </w:r>
          </w:p>
        </w:tc>
        <w:tc>
          <w:tcPr>
            <w:shd w:fill="EB742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91</w:t>
            </w:r>
          </w:p>
        </w:tc>
        <w:tc>
          <w:tcPr>
            <w:shd w:fill="F09A0C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83</w:t>
            </w:r>
          </w:p>
        </w:tc>
        <w:tc>
          <w:tcPr>
            <w:shd w:fill="EF960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84</w:t>
            </w:r>
          </w:p>
        </w:tc>
        <w:tc>
          <w:tcPr>
            <w:shd w:fill="EA6F2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92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BUDGET TRAJECTORY · US$B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2019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2020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2021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2022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2023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2024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2025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2026</w:t>
            </w:r>
          </w:p>
        </w:tc>
      </w:tr>
      <w:tr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11.65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12.2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13.25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14.37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17.2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19.19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21.25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24.77</w:t>
            </w:r>
          </w:p>
        </w:tc>
      </w:tr>
    </w:tbl>
    <w:p>
      <w:pPr>
        <w:spacing w:after="60" w:before="50" w:line="264"/>
      </w:pPr>
      <w:r>
        <w:rPr>
          <w:rFonts w:ascii="Segoe UI" w:cs="Segoe UI" w:eastAsia="Segoe UI" w:hAnsi="Segoe UI"/>
          <w:i/>
          <w:iCs/>
          <w:color w:val="4A545F"/>
          <w:sz w:val="17"/>
          <w:szCs w:val="17"/>
        </w:rPr>
        <w:t xml:space="preserve">Special budgets stack on baseline growth; asymmetric "porcupine" systems prioritized — C-UAS, sea denial, resilient C2.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KEY PROGRAMS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[C-UAS] Island-Wide Layered C-UAS Network — National C-UAS architecture across military and critical-infrastructure sites.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[USV] Asymmetric USV Mass Production — High-rate attack/ISR USV lines inspired by Black Sea lessons.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[PE] Loitering Effects Scale-Up — Domestic loitering-munition production seeking foreign seekers and swarm autonomy.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[C2] Degraded-Mode National C2 — Dispersed, LEO-backed C2 assuming undersea-cable loss.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ENTRY ROUTES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FMS — Primary channel but multi-year backlog; congressional drawdowns supplement.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DCS — Active for commercial-derived autonomy and C-UAS; license risk on sensitive items.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NPOR (not applicable) — Not applicable.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RISK MATRIX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Political/Regulatory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Operational/Logistics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Payment/Offset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Geo-tension</w:t>
            </w:r>
          </w:p>
        </w:tc>
      </w:tr>
      <w:tr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BARRIERS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TSFD/State licensing risk on advanced capabilities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PRC retaliation exposure for suppliers with China-facing business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Delivery backlog crowds integration bandwidth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LOCAL PARTNER ARCHETYPES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State-backed research institute (NCSIST-archetype co-development)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Commercial drone manufacturer pivoting to defense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Critical-infrastructure operator (C-UAS demand side)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B07A00"/>
          <w:sz w:val="15"/>
          <w:szCs w:val="15"/>
        </w:rPr>
        <w:t xml:space="preserve">ENTRY RECOMMENDATION</w:t>
      </w:r>
    </w:p>
    <w:tbl>
      <w:tblPr>
        <w:tblW w:type="pct" w:w="100%"/>
        <w:tblBorders>
          <w:top w:val="none" w:color="FFFFFF" w:sz="0"/>
          <w:left w:val="single" w:color="F2A900" w:sz="2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c>
          <w:tcPr>
            <w:shd w:fill="FBF4E3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i/>
                <w:iCs/>
                <w:color w:val="1A1F26"/>
                <w:sz w:val="20"/>
                <w:szCs w:val="20"/>
              </w:rPr>
              <w:t xml:space="preserve">Highest demand, highest friction. Enter via DCS with commercial-derived C-UAS and USV autonomy; structure around license-resilient, non-ITAR content wherever possible.</w:t>
            </w:r>
          </w:p>
        </w:tc>
      </w:tr>
    </w:tbl>
    <w:p>
      <w:pPr>
        <w:keepNext/>
        <w:pageBreakBefore/>
        <w:pBdr>
          <w:bottom w:val="single" w:color="F2A900" w:sz="10"/>
        </w:pBdr>
        <w:spacing w:after="60" w:before="0"/>
      </w:pPr>
      <w:r>
        <w:rPr>
          <w:rFonts w:ascii="Segoe UI" w:cs="Segoe UI" w:eastAsia="Segoe UI" w:hAnsi="Segoe UI"/>
          <w:b/>
          <w:bCs/>
          <w:color w:val="12161C"/>
          <w:sz w:val="28"/>
          <w:szCs w:val="28"/>
        </w:rPr>
        <w:t xml:space="preserve">JAPAN  </w:t>
      </w:r>
      <w:r>
        <w:rPr>
          <w:rFonts w:ascii="Consolas" w:cs="Consolas" w:eastAsia="Consolas" w:hAnsi="Consolas"/>
          <w:color w:val="6B7682"/>
          <w:sz w:val="16"/>
          <w:szCs w:val="16"/>
        </w:rPr>
        <w:t xml:space="preserve">JPN  ·  OVERALL 81/100  ·  RISK 60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C-UAS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USV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ISR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C2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PE</w:t>
            </w:r>
          </w:p>
        </w:tc>
      </w:tr>
      <w:tr>
        <w:tc>
          <w:tcPr>
            <w:shd w:fill="F2A90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80</w:t>
            </w:r>
          </w:p>
        </w:tc>
        <w:tc>
          <w:tcPr>
            <w:shd w:fill="C4AE2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69</w:t>
            </w:r>
          </w:p>
        </w:tc>
        <w:tc>
          <w:tcPr>
            <w:shd w:fill="EF960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84</w:t>
            </w:r>
          </w:p>
        </w:tc>
        <w:tc>
          <w:tcPr>
            <w:shd w:fill="F19F0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82</w:t>
            </w:r>
          </w:p>
        </w:tc>
        <w:tc>
          <w:tcPr>
            <w:shd w:fill="EC792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90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BUDGET TRAJECTORY · US$B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2019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2020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2021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2022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2023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2024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2025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2026</w:t>
            </w:r>
          </w:p>
        </w:tc>
      </w:tr>
      <w:tr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46.9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48.48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48.96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50.4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55.59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61.52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67.49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74.12</w:t>
            </w:r>
          </w:p>
        </w:tc>
      </w:tr>
    </w:tbl>
    <w:p>
      <w:pPr>
        <w:spacing w:after="60" w:before="50" w:line="264"/>
      </w:pPr>
      <w:r>
        <w:rPr>
          <w:rFonts w:ascii="Segoe UI" w:cs="Segoe UI" w:eastAsia="Segoe UI" w:hAnsi="Segoe UI"/>
          <w:i/>
          <w:iCs/>
          <w:color w:val="4A545F"/>
          <w:sz w:val="17"/>
          <w:szCs w:val="17"/>
        </w:rPr>
        <w:t xml:space="preserve">Defense Buildup Program targets ~2% of GDP by FY2027; counterstrike and standoff lines drive the steepest growth.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KEY PROGRAMS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[PE] Standoff Defense Capability Acceleration — Multi-year targeting-chain and mission-planning modernization supporting the counterstrike mandate.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[ISR] SSA/MDA Constellation Buy-In — Smallsat ISR constellation participation with sovereign downlink stations.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[C-UAS] Base Air-Defense Layered C-UAS — Phased C-UAS rollout across SDF air bases beginning with Naha and Misawa.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[C2] JJOC Interoperability Backbone — Joint HQ C2 mesh aligned to US INDOPACOM mission-partner environment.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[USV] MCM-USV Transition Program — Replacing aging minesweepers with uncrewed sweep and hunt systems.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ENTRY ROUTES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FMS — Preferred for sensitive payloads; long timelines but politically smooth.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DCS — Viable via trading-house channel for non-sensitive subsystems.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NPOR (not applicable) — Not applicable — bilateral US-Japan channels dominate.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RISK MATRIX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Political/Regulatory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Operational/Logistics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Payment/Offset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Geo-tension</w:t>
            </w:r>
          </w:p>
        </w:tc>
      </w:tr>
      <w:tr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BARRIERS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Three Principles on Transfer of Defense Equipment constrain re-export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Strong preference for licensed production with domestic primes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ITAR flow-down on US-content payloads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LOCAL PARTNER ARCHETYPES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Tier-1 heavy-industry prime (licensed production)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Trading-house defense unit (in-country channel)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Defense-electronics subsidiary of a major conglomerate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B07A00"/>
          <w:sz w:val="15"/>
          <w:szCs w:val="15"/>
        </w:rPr>
        <w:t xml:space="preserve">ENTRY RECOMMENDATION</w:t>
      </w:r>
    </w:p>
    <w:tbl>
      <w:tblPr>
        <w:tblW w:type="pct" w:w="100%"/>
        <w:tblBorders>
          <w:top w:val="none" w:color="FFFFFF" w:sz="0"/>
          <w:left w:val="single" w:color="F2A900" w:sz="2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c>
          <w:tcPr>
            <w:shd w:fill="FBF4E3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i/>
                <w:iCs/>
                <w:color w:val="1A1F26"/>
                <w:sz w:val="20"/>
                <w:szCs w:val="20"/>
              </w:rPr>
              <w:t xml:space="preserve">Enter via FMS-adjacent teaming with a heavy-industry prime; lead with precision-effects enablers and ISR downlink, where buildup money is moving fastest.</w:t>
            </w:r>
          </w:p>
        </w:tc>
      </w:tr>
    </w:tbl>
    <w:p>
      <w:pPr>
        <w:keepNext/>
        <w:pageBreakBefore/>
        <w:pBdr>
          <w:bottom w:val="single" w:color="F2A900" w:sz="10"/>
        </w:pBdr>
        <w:spacing w:after="60" w:before="0"/>
      </w:pPr>
      <w:r>
        <w:rPr>
          <w:rFonts w:ascii="Segoe UI" w:cs="Segoe UI" w:eastAsia="Segoe UI" w:hAnsi="Segoe UI"/>
          <w:b/>
          <w:bCs/>
          <w:color w:val="12161C"/>
          <w:sz w:val="28"/>
          <w:szCs w:val="28"/>
        </w:rPr>
        <w:t xml:space="preserve">AUSTRALIA  </w:t>
      </w:r>
      <w:r>
        <w:rPr>
          <w:rFonts w:ascii="Consolas" w:cs="Consolas" w:eastAsia="Consolas" w:hAnsi="Consolas"/>
          <w:color w:val="6B7682"/>
          <w:sz w:val="16"/>
          <w:szCs w:val="16"/>
        </w:rPr>
        <w:t xml:space="preserve">AUS  ·  OVERALL 79/100  ·  RISK 47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C-UAS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USV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ISR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C2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PE</w:t>
            </w:r>
          </w:p>
        </w:tc>
      </w:tr>
      <w:tr>
        <w:tc>
          <w:tcPr>
            <w:shd w:fill="C4AE2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69</w:t>
            </w:r>
          </w:p>
        </w:tc>
        <w:tc>
          <w:tcPr>
            <w:shd w:fill="ED82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88</w:t>
            </w:r>
          </w:p>
        </w:tc>
        <w:tc>
          <w:tcPr>
            <w:shd w:fill="F2A90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80</w:t>
            </w:r>
          </w:p>
        </w:tc>
        <w:tc>
          <w:tcPr>
            <w:shd w:fill="EF960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84</w:t>
            </w:r>
          </w:p>
        </w:tc>
        <w:tc>
          <w:tcPr>
            <w:shd w:fill="D9AC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74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BUDGET TRAJECTORY · US$B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2019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2020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2021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2022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2023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2024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2025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2026</w:t>
            </w:r>
          </w:p>
        </w:tc>
      </w:tr>
      <w:tr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25.52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26.77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27.77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28.77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30.64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32.44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36.02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38.09</w:t>
            </w:r>
          </w:p>
        </w:tc>
      </w:tr>
    </w:tbl>
    <w:p>
      <w:pPr>
        <w:spacing w:after="60" w:before="50" w:line="264"/>
      </w:pPr>
      <w:r>
        <w:rPr>
          <w:rFonts w:ascii="Segoe UI" w:cs="Segoe UI" w:eastAsia="Segoe UI" w:hAnsi="Segoe UI"/>
          <w:i/>
          <w:iCs/>
          <w:color w:val="4A545F"/>
          <w:sz w:val="17"/>
          <w:szCs w:val="17"/>
        </w:rPr>
        <w:t xml:space="preserve">National Defence Strategy lifts spending toward 2.4% of GDP; AUKUS Pillar 2 and guided-weapons enterprise dominate new money.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KEY PROGRAMS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[USV] XL-AUV Fleet Expansion (Ghost Shark follow-on) — Production-rate uncrewed undersea fleet with sovereign autonomy stack.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[C2] AUKUS P2 Resilient C2 Spiral — Trilateral experimentation on contested-comms C2; fast on-ramp for non-traditional vendors.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[PE] GWEO Local Production Enablers — Guided Weapons &amp; Explosive Ordnance enterprise seeking seeker, fuze, and test-equipment suppliers.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[ISR] Sovereign Space ISR Tranche 2 — Replacement for cancelled DEF799 Ph2 with commercial-constellation hybrid.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[C-UAS] Northern Bases Force Protection — C-UAS and base-defense uplift at Tindal, Darwin, and Scherger.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ENTRY ROUTES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FMS — Smooth for US-origin systems; AUKUS eases tech release.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DCS — Strong route — ASDEFCON contracting open to non-traditional vendors.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NPOR (not applicable) — Not applicable, though NSPA partner arrangements exist for sustainment.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RISK MATRIX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Political/Regulatory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Operational/Logistics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Payment/Offset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Geo-tension</w:t>
            </w:r>
          </w:p>
        </w:tc>
      </w:tr>
      <w:tr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BARRIERS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Australian Industry Capability (AIC) local-content expectations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ITAR friction easing under AUKUS exemptions but not gone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Small market — winner-take-most program structure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LOCAL PARTNER ARCHETYPES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Sovereign autonomy prime (AUKUS-cleared)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Mid-tier systems integrator with Defence panel standing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University-linked autonomy research consortium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B07A00"/>
          <w:sz w:val="15"/>
          <w:szCs w:val="15"/>
        </w:rPr>
        <w:t xml:space="preserve">ENTRY RECOMMENDATION</w:t>
      </w:r>
    </w:p>
    <w:tbl>
      <w:tblPr>
        <w:tblW w:type="pct" w:w="100%"/>
        <w:tblBorders>
          <w:top w:val="none" w:color="FFFFFF" w:sz="0"/>
          <w:left w:val="single" w:color="F2A900" w:sz="2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c>
          <w:tcPr>
            <w:shd w:fill="FBF4E3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i/>
                <w:iCs/>
                <w:color w:val="1A1F26"/>
                <w:sz w:val="20"/>
                <w:szCs w:val="20"/>
              </w:rPr>
              <w:t xml:space="preserve">Most permissive entry environment in the region. Lead with maritime autonomy teamed to a sovereign prime; use AUKUS Pillar 2 experimentation as the low-friction on-ramp.</w:t>
            </w:r>
          </w:p>
        </w:tc>
      </w:tr>
    </w:tbl>
    <w:p>
      <w:pPr>
        <w:keepNext/>
        <w:pageBreakBefore/>
        <w:pBdr>
          <w:bottom w:val="single" w:color="F2A900" w:sz="10"/>
        </w:pBdr>
        <w:spacing w:after="60" w:before="0"/>
      </w:pPr>
      <w:r>
        <w:rPr>
          <w:rFonts w:ascii="Segoe UI" w:cs="Segoe UI" w:eastAsia="Segoe UI" w:hAnsi="Segoe UI"/>
          <w:b/>
          <w:bCs/>
          <w:color w:val="12161C"/>
          <w:sz w:val="28"/>
          <w:szCs w:val="28"/>
        </w:rPr>
        <w:t xml:space="preserve">SOUTH KOREA  </w:t>
      </w:r>
      <w:r>
        <w:rPr>
          <w:rFonts w:ascii="Consolas" w:cs="Consolas" w:eastAsia="Consolas" w:hAnsi="Consolas"/>
          <w:color w:val="6B7682"/>
          <w:sz w:val="16"/>
          <w:szCs w:val="16"/>
        </w:rPr>
        <w:t xml:space="preserve">KOR  ·  OVERALL 74/100  ·  RISK 73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C-UAS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USV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ISR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C2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PE</w:t>
            </w:r>
          </w:p>
        </w:tc>
      </w:tr>
      <w:tr>
        <w:tc>
          <w:tcPr>
            <w:shd w:fill="F09A0C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83</w:t>
            </w:r>
          </w:p>
        </w:tc>
        <w:tc>
          <w:tcPr>
            <w:shd w:fill="ABB13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63</w:t>
            </w:r>
          </w:p>
        </w:tc>
        <w:tc>
          <w:tcPr>
            <w:shd w:fill="EAAA0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78</w:t>
            </w:r>
          </w:p>
        </w:tc>
        <w:tc>
          <w:tcPr>
            <w:shd w:fill="DDAB0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75</w:t>
            </w:r>
          </w:p>
        </w:tc>
        <w:tc>
          <w:tcPr>
            <w:shd w:fill="C4AE2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69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BUDGET TRAJECTORY · US$B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2019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2020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2021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2022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2023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2024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2025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2026</w:t>
            </w:r>
          </w:p>
        </w:tc>
      </w:tr>
      <w:tr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39.38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40.51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42.12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42.81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44.38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46.66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49.5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51.24</w:t>
            </w:r>
          </w:p>
        </w:tc>
      </w:tr>
    </w:tbl>
    <w:p>
      <w:pPr>
        <w:spacing w:after="60" w:before="50" w:line="264"/>
      </w:pPr>
      <w:r>
        <w:rPr>
          <w:rFonts w:ascii="Segoe UI" w:cs="Segoe UI" w:eastAsia="Segoe UI" w:hAnsi="Segoe UI"/>
          <w:i/>
          <w:iCs/>
          <w:color w:val="4A545F"/>
          <w:sz w:val="17"/>
          <w:szCs w:val="17"/>
        </w:rPr>
        <w:t xml:space="preserve">Steady 4–6% annual growth; Defense Innovation 4.0 channels funds to AI, uncrewed systems, and layered air defense.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KEY PROGRAMS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[C-UAS] Capital Defense C-UAS Shield — Layered detect-defeat network for the capital region; urgent-acquisition track.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[ISR] 425 Follow-On SAR Constellation — Second-tranche reconnaissance satellites with allied payload slots.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[USV] Sea GHOST Uncrewed Fleet Spiral — Multi-class USV development with major shipyard primes.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[C2] Kill-Web C2 Experimentation — AI-assisted sensor-to-shooter trials under Defense Innovation 4.0.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ENTRY ROUTES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FMS — Established channel; competes against strong domestic preference.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DCS — Best route for subsystems into chaebol primes as integrator-supplier.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NPOR (not applicable) — Not applicable; DAPA-run national programs dominate.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RISK MATRIX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Political/Regulatory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Operational/Logistics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Payment/Offset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Geo-tension</w:t>
            </w:r>
          </w:p>
        </w:tc>
      </w:tr>
      <w:tr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BARRIERS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DAPA offset requirements (typically 50%+ on major buys)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Aggressive indigenization — K-defense export ambitions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Technology-transfer expectations as price of entry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LOCAL PARTNER ARCHETYPES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Chaebol defense prime (integrator-supplier route)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State-funded defense research institute (co-development)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Mid-tier defense electronics house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B07A00"/>
          <w:sz w:val="15"/>
          <w:szCs w:val="15"/>
        </w:rPr>
        <w:t xml:space="preserve">ENTRY RECOMMENDATION</w:t>
      </w:r>
    </w:p>
    <w:tbl>
      <w:tblPr>
        <w:tblW w:type="pct" w:w="100%"/>
        <w:tblBorders>
          <w:top w:val="none" w:color="FFFFFF" w:sz="0"/>
          <w:left w:val="single" w:color="F2A900" w:sz="2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c>
          <w:tcPr>
            <w:shd w:fill="FBF4E3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i/>
                <w:iCs/>
                <w:color w:val="1A1F26"/>
                <w:sz w:val="20"/>
                <w:szCs w:val="20"/>
              </w:rPr>
              <w:t xml:space="preserve">Position as subsystem supplier to chaebol primes rather than head-to-head prime; lead with C-UAS effectors and counter-swarm autonomy, the one gap domestic industry concedes.</w:t>
            </w:r>
          </w:p>
        </w:tc>
      </w:tr>
    </w:tbl>
    <w:p>
      <w:pPr>
        <w:keepNext/>
        <w:pageBreakBefore/>
        <w:pBdr>
          <w:bottom w:val="single" w:color="F2A900" w:sz="10"/>
        </w:pBdr>
        <w:spacing w:after="60" w:before="0"/>
      </w:pPr>
      <w:r>
        <w:rPr>
          <w:rFonts w:ascii="Segoe UI" w:cs="Segoe UI" w:eastAsia="Segoe UI" w:hAnsi="Segoe UI"/>
          <w:b/>
          <w:bCs/>
          <w:color w:val="12161C"/>
          <w:sz w:val="28"/>
          <w:szCs w:val="28"/>
        </w:rPr>
        <w:t xml:space="preserve">INDIA  </w:t>
      </w:r>
      <w:r>
        <w:rPr>
          <w:rFonts w:ascii="Consolas" w:cs="Consolas" w:eastAsia="Consolas" w:hAnsi="Consolas"/>
          <w:color w:val="6B7682"/>
          <w:sz w:val="16"/>
          <w:szCs w:val="16"/>
        </w:rPr>
        <w:t xml:space="preserve">IND  ·  OVERALL 74/100  ·  RISK 87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C-UAS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USV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ISR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C2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PE</w:t>
            </w:r>
          </w:p>
        </w:tc>
      </w:tr>
      <w:tr>
        <w:tc>
          <w:tcPr>
            <w:shd w:fill="EEA90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79</w:t>
            </w:r>
          </w:p>
        </w:tc>
        <w:tc>
          <w:tcPr>
            <w:shd w:fill="C4AE2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69</w:t>
            </w:r>
          </w:p>
        </w:tc>
        <w:tc>
          <w:tcPr>
            <w:shd w:fill="E1AB0C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76</w:t>
            </w:r>
          </w:p>
        </w:tc>
        <w:tc>
          <w:tcPr>
            <w:shd w:fill="C4AE2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69</w:t>
            </w:r>
          </w:p>
        </w:tc>
        <w:tc>
          <w:tcPr>
            <w:shd w:fill="EAAA0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78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BUDGET TRAJECTORY · US$B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2019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2020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2021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2022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2023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2024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2025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2026</w:t>
            </w:r>
          </w:p>
        </w:tc>
      </w:tr>
      <w:tr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66.76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69.25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71.02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72.55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76.51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80.28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81.88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86.07</w:t>
            </w:r>
          </w:p>
        </w:tc>
      </w:tr>
    </w:tbl>
    <w:p>
      <w:pPr>
        <w:spacing w:after="60" w:before="50" w:line="264"/>
      </w:pPr>
      <w:r>
        <w:rPr>
          <w:rFonts w:ascii="Segoe UI" w:cs="Segoe UI" w:eastAsia="Segoe UI" w:hAnsi="Segoe UI"/>
          <w:i/>
          <w:iCs/>
          <w:color w:val="4A545F"/>
          <w:sz w:val="17"/>
          <w:szCs w:val="17"/>
        </w:rPr>
        <w:t xml:space="preserve">World #3 budget but capital share is squeezed by pay/pensions; Atmanirbhar (self-reliance) rules shape every entry.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KEY PROGRAMS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[C-UAS] Integrated Border C-UAS Grid — Multi-sector counter-drone network via emergency procurement powers.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[PE] Loitering Effects Make-in-India Line — Licensed local production of loitering systems with foreign autonomy content.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[ISR] Space-Based Surveillance Phase 3 — 50+ satellite ISR constellation with private-sector participation.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[USV] Harbor &amp; EEZ Uncrewed Defense — USV/UUV adjuncts for port security and Indian Ocean awareness.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ENTRY ROUTES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FMS — Used for marquee platforms; slow and politically visible.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DCS — Only at subsystem level inside a Make-in-India JV structure.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NPOR (not applicable) — Not applicable.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RISK MATRIX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Political/Regulatory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Operational/Logistics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Payment/Offset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Geo-tension</w:t>
            </w:r>
          </w:p>
        </w:tc>
      </w:tr>
      <w:tr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BARRIERS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Defence Acquisition Procedure indigenous-content thresholds (50%+)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Offset obligations on larger contracts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License raj timelines; IP-transfer pressure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Russia-legacy fleet integration constraints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LOCAL PARTNER ARCHETYPES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Large private defense conglomerate (JV anchor)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Defense-licensed startup in the iDEX ecosystem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State-owned electronics manufacturer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B07A00"/>
          <w:sz w:val="15"/>
          <w:szCs w:val="15"/>
        </w:rPr>
        <w:t xml:space="preserve">ENTRY RECOMMENDATION</w:t>
      </w:r>
    </w:p>
    <w:tbl>
      <w:tblPr>
        <w:tblW w:type="pct" w:w="100%"/>
        <w:tblBorders>
          <w:top w:val="none" w:color="FFFFFF" w:sz="0"/>
          <w:left w:val="single" w:color="F2A900" w:sz="2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c>
          <w:tcPr>
            <w:shd w:fill="FBF4E3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i/>
                <w:iCs/>
                <w:color w:val="1A1F26"/>
                <w:sz w:val="20"/>
                <w:szCs w:val="20"/>
              </w:rPr>
              <w:t xml:space="preserve">Enter only through a Make-in-India JV with a private conglomerate; lead with C-UAS autonomy licensed for local production. Expect 24–36 months to first revenue.</w:t>
            </w:r>
          </w:p>
        </w:tc>
      </w:tr>
    </w:tbl>
    <w:p>
      <w:pPr>
        <w:keepNext/>
        <w:pageBreakBefore/>
        <w:pBdr>
          <w:bottom w:val="single" w:color="F2A900" w:sz="10"/>
        </w:pBdr>
        <w:spacing w:after="60" w:before="0"/>
      </w:pPr>
      <w:r>
        <w:rPr>
          <w:rFonts w:ascii="Segoe UI" w:cs="Segoe UI" w:eastAsia="Segoe UI" w:hAnsi="Segoe UI"/>
          <w:b/>
          <w:bCs/>
          <w:color w:val="12161C"/>
          <w:sz w:val="28"/>
          <w:szCs w:val="28"/>
        </w:rPr>
        <w:t xml:space="preserve">PHILIPPINES  </w:t>
      </w:r>
      <w:r>
        <w:rPr>
          <w:rFonts w:ascii="Consolas" w:cs="Consolas" w:eastAsia="Consolas" w:hAnsi="Consolas"/>
          <w:color w:val="6B7682"/>
          <w:sz w:val="16"/>
          <w:szCs w:val="16"/>
        </w:rPr>
        <w:t xml:space="preserve">PHL  ·  OVERALL 69/100  ·  RISK 87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C-UAS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USV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ISR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C2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PE</w:t>
            </w:r>
          </w:p>
        </w:tc>
      </w:tr>
      <w:tr>
        <w:tc>
          <w:tcPr>
            <w:shd w:fill="CDAD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71</w:t>
            </w:r>
          </w:p>
        </w:tc>
        <w:tc>
          <w:tcPr>
            <w:shd w:fill="D5AC1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73</w:t>
            </w:r>
          </w:p>
        </w:tc>
        <w:tc>
          <w:tcPr>
            <w:shd w:fill="D5AC1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73</w:t>
            </w:r>
          </w:p>
        </w:tc>
        <w:tc>
          <w:tcPr>
            <w:shd w:fill="B8AF2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66</w:t>
            </w:r>
          </w:p>
        </w:tc>
        <w:tc>
          <w:tcPr>
            <w:shd w:fill="A3B23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61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BUDGET TRAJECTORY · US$B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2019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2020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2021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2022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2023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2024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2025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2026</w:t>
            </w:r>
          </w:p>
        </w:tc>
      </w:tr>
      <w:tr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3.87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4.19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4.34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4.57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5.07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5.73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6.45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7.46</w:t>
            </w:r>
          </w:p>
        </w:tc>
      </w:tr>
    </w:tbl>
    <w:p>
      <w:pPr>
        <w:spacing w:after="60" w:before="50" w:line="264"/>
      </w:pPr>
      <w:r>
        <w:rPr>
          <w:rFonts w:ascii="Segoe UI" w:cs="Segoe UI" w:eastAsia="Segoe UI" w:hAnsi="Segoe UI"/>
          <w:i/>
          <w:iCs/>
          <w:color w:val="4A545F"/>
          <w:sz w:val="17"/>
          <w:szCs w:val="17"/>
        </w:rPr>
        <w:t xml:space="preserve">Re-Horizon 3 ambitions (~$35B over a decade) outpace appropriations; West Philippine Sea incidents sustain political will.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KEY PROGRAMS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[ISR] WPS Maritime Domain Awareness Grid — Layered MDA — coastal radar, smallsat tasking, and persistent UAS over the West Philippine Sea.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[USV] Archipelagic Patrol USV Squadron — Low-cost USV persistent presence for EEZ enforcement.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[C-UAS] EDCA Site Force Protection — C-UAS at expanded cooperation sites, co-funded via US security assistance.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[C2] AFP Joint C2 Federation — Unifying service-level C2 ahead of Re-Horizon 3 sensor buys.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ENTRY ROUTES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FMS — FMF-subsidized; the realistic channel for big-ticket items.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DCS — Workable for smaller systems; expect long payment cycles.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NPOR (not applicable) — Not applicable.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RISK MATRIX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Political/Regulatory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Operational/Logistics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Payment/Offset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Geo-tension</w:t>
            </w:r>
          </w:p>
        </w:tc>
      </w:tr>
      <w:tr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BARRIERS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Appropriations lag ambition — multi-year payment risk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AFP absorption capacity constraints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Political cycle risk on China posture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LOCAL PARTNER ARCHETYPES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Local conglomerate with port/logistics footprint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Regional MRO provider (sustainment anchor)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Coast-guard-adjacent civilian integrator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B07A00"/>
          <w:sz w:val="15"/>
          <w:szCs w:val="15"/>
        </w:rPr>
        <w:t xml:space="preserve">ENTRY RECOMMENDATION</w:t>
      </w:r>
    </w:p>
    <w:tbl>
      <w:tblPr>
        <w:tblW w:type="pct" w:w="100%"/>
        <w:tblBorders>
          <w:top w:val="none" w:color="FFFFFF" w:sz="0"/>
          <w:left w:val="single" w:color="F2A900" w:sz="2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c>
          <w:tcPr>
            <w:shd w:fill="FBF4E3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i/>
                <w:iCs/>
                <w:color w:val="1A1F26"/>
                <w:sz w:val="20"/>
                <w:szCs w:val="20"/>
              </w:rPr>
              <w:t xml:space="preserve">Ride US security-assistance financing rather than national budget: lead with MDA-as-a-service and USV persistent presence priced for FMF, with sustainment localized from day one.</w:t>
            </w:r>
          </w:p>
        </w:tc>
      </w:tr>
    </w:tbl>
    <w:p>
      <w:pPr>
        <w:keepNext/>
        <w:pageBreakBefore/>
        <w:pBdr>
          <w:bottom w:val="single" w:color="F2A900" w:sz="10"/>
        </w:pBdr>
        <w:spacing w:after="60" w:before="0"/>
      </w:pPr>
      <w:r>
        <w:rPr>
          <w:rFonts w:ascii="Segoe UI" w:cs="Segoe UI" w:eastAsia="Segoe UI" w:hAnsi="Segoe UI"/>
          <w:b/>
          <w:bCs/>
          <w:color w:val="12161C"/>
          <w:sz w:val="28"/>
          <w:szCs w:val="28"/>
        </w:rPr>
        <w:t xml:space="preserve">SINGAPORE  </w:t>
      </w:r>
      <w:r>
        <w:rPr>
          <w:rFonts w:ascii="Consolas" w:cs="Consolas" w:eastAsia="Consolas" w:hAnsi="Consolas"/>
          <w:color w:val="6B7682"/>
          <w:sz w:val="16"/>
          <w:szCs w:val="16"/>
        </w:rPr>
        <w:t xml:space="preserve">SGP  ·  OVERALL 69/100  ·  RISK 47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C-UAS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USV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ISR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C2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PE</w:t>
            </w:r>
          </w:p>
        </w:tc>
      </w:tr>
      <w:tr>
        <w:tc>
          <w:tcPr>
            <w:shd w:fill="DDAB0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75</w:t>
            </w:r>
          </w:p>
        </w:tc>
        <w:tc>
          <w:tcPr>
            <w:shd w:fill="BCAF2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67</w:t>
            </w:r>
          </w:p>
        </w:tc>
        <w:tc>
          <w:tcPr>
            <w:shd w:fill="D9AC1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74</w:t>
            </w:r>
          </w:p>
        </w:tc>
        <w:tc>
          <w:tcPr>
            <w:shd w:fill="EAAA0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78</w:t>
            </w:r>
          </w:p>
        </w:tc>
        <w:tc>
          <w:tcPr>
            <w:shd w:fill="729D4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52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BUDGET TRAJECTORY · US$B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2019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2020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2021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2022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2023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2024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2025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2026</w:t>
            </w:r>
          </w:p>
        </w:tc>
      </w:tr>
      <w:tr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10.77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10.76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11.47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11.87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12.74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13.21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13.99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15.07</w:t>
            </w:r>
          </w:p>
        </w:tc>
      </w:tr>
    </w:tbl>
    <w:p>
      <w:pPr>
        <w:spacing w:after="60" w:before="50" w:line="264"/>
      </w:pPr>
      <w:r>
        <w:rPr>
          <w:rFonts w:ascii="Segoe UI" w:cs="Segoe UI" w:eastAsia="Segoe UI" w:hAnsi="Segoe UI"/>
          <w:i/>
          <w:iCs/>
          <w:color w:val="4A545F"/>
          <w:sz w:val="17"/>
          <w:szCs w:val="17"/>
        </w:rPr>
        <w:t xml:space="preserve">Disciplined ~3% of GDP; technology-refresh cadence is fast and evaluation-driven — the region’s most sophisticated buyer.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KEY PROGRAMS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[C2] SAF Digital &amp; Intelligence Spiral — Continuous C2/cyber modernization under the Digital and Intelligence Service.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[C-UAS] National Airspace C-UAS Refresh — Next-generation counter-drone layer for Changi and strategic sites.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[USV] MARSEC USV Next-Gen — Follow-on autonomy for operational maritime-security USVs.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ENTRY ROUTES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FMS — Used for US platforms; evaluation rigor matters more than channel.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DCS — Preferred for fast-cycle technology; DSTA runs disciplined competitions.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NPOR (not applicable) — Not applicable.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RISK MATRIX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Political/Regulatory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Operational/Logistics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Payment/Offset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Geo-tension</w:t>
            </w:r>
          </w:p>
        </w:tc>
      </w:tr>
      <w:tr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BARRIERS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Small absolute volumes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DSTA technical evaluation depth — weak products die fast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Incumbent local prime (ST-archetype) breadth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LOCAL PARTNER ARCHETYPES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National defense-engineering prime (teaming or rivalry — choose early)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DSTA-linked research institute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Regional HQ of a global integrator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B07A00"/>
          <w:sz w:val="15"/>
          <w:szCs w:val="15"/>
        </w:rPr>
        <w:t xml:space="preserve">ENTRY RECOMMENDATION</w:t>
      </w:r>
    </w:p>
    <w:tbl>
      <w:tblPr>
        <w:tblW w:type="pct" w:w="100%"/>
        <w:tblBorders>
          <w:top w:val="none" w:color="FFFFFF" w:sz="0"/>
          <w:left w:val="single" w:color="F2A900" w:sz="2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c>
          <w:tcPr>
            <w:shd w:fill="FBF4E3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i/>
                <w:iCs/>
                <w:color w:val="1A1F26"/>
                <w:sz w:val="20"/>
                <w:szCs w:val="20"/>
              </w:rPr>
              <w:t xml:space="preserve">Use Singapore as the regional proving ground: win a DSTA evaluation with C2/C-UAS technology and leverage that reference across ASEAN. Margins matter more than volume here.</w:t>
            </w:r>
          </w:p>
        </w:tc>
      </w:tr>
    </w:tbl>
    <w:p>
      <w:pPr>
        <w:keepNext/>
        <w:pageBreakBefore/>
        <w:pBdr>
          <w:bottom w:val="single" w:color="F2A900" w:sz="10"/>
        </w:pBdr>
        <w:spacing w:after="60" w:before="0"/>
      </w:pPr>
      <w:r>
        <w:rPr>
          <w:rFonts w:ascii="Segoe UI" w:cs="Segoe UI" w:eastAsia="Segoe UI" w:hAnsi="Segoe UI"/>
          <w:b/>
          <w:bCs/>
          <w:color w:val="12161C"/>
          <w:sz w:val="28"/>
          <w:szCs w:val="28"/>
        </w:rPr>
        <w:t xml:space="preserve">INDONESIA  </w:t>
      </w:r>
      <w:r>
        <w:rPr>
          <w:rFonts w:ascii="Consolas" w:cs="Consolas" w:eastAsia="Consolas" w:hAnsi="Consolas"/>
          <w:color w:val="6B7682"/>
          <w:sz w:val="16"/>
          <w:szCs w:val="16"/>
        </w:rPr>
        <w:t xml:space="preserve">IDN  ·  OVERALL 57/100  ·  RISK 80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C-UAS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USV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ISR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C2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PE</w:t>
            </w:r>
          </w:p>
        </w:tc>
      </w:tr>
      <w:tr>
        <w:tc>
          <w:tcPr>
            <w:shd w:fill="8EAA3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57</w:t>
            </w:r>
          </w:p>
        </w:tc>
        <w:tc>
          <w:tcPr>
            <w:shd w:fill="99AF3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59</w:t>
            </w:r>
          </w:p>
        </w:tc>
        <w:tc>
          <w:tcPr>
            <w:shd w:fill="9FB23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60</w:t>
            </w:r>
          </w:p>
        </w:tc>
        <w:tc>
          <w:tcPr>
            <w:shd w:fill="83A53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55</w:t>
            </w:r>
          </w:p>
        </w:tc>
        <w:tc>
          <w:tcPr>
            <w:shd w:fill="779F4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53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BUDGET TRAJECTORY · US$B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2019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2020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2021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2022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2023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2024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2025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2026</w:t>
            </w:r>
          </w:p>
        </w:tc>
      </w:tr>
      <w:tr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7.72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8.08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8.55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8.97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9.48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10.45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13.28</w:t>
            </w:r>
          </w:p>
        </w:tc>
      </w:tr>
    </w:tbl>
    <w:p>
      <w:pPr>
        <w:spacing w:after="60" w:before="50" w:line="264"/>
      </w:pPr>
      <w:r>
        <w:rPr>
          <w:rFonts w:ascii="Segoe UI" w:cs="Segoe UI" w:eastAsia="Segoe UI" w:hAnsi="Segoe UI"/>
          <w:i/>
          <w:iCs/>
          <w:color w:val="4A545F"/>
          <w:sz w:val="17"/>
          <w:szCs w:val="17"/>
        </w:rPr>
        <w:t xml:space="preserve">Prabowo-era ambition lifts top-line; execution and financing (often vendor-credit) remain the constraint.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KEY PROGRAMS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[USV] Natuna Persistent Patrol USV — Uncrewed EEZ presence around the Natuna Islands.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[ISR] National MDA Integration — Fusing Bakamla, Navy, and fisheries sensors into one maritime picture.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[C-UAS] IKN Capital Security Layer — C-UAS for the new capital and strategic sites.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ENTRY ROUTES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FMS — Used selectively; financing terms often decide outcomes.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DCS — Common, usually with state-owned-enterprise teaming and vendor financing.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NPOR (not applicable) — Not applicable.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RISK MATRIX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Political/Regulatory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Operational/Logistics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Payment/Offset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Geo-tension</w:t>
            </w:r>
          </w:p>
        </w:tc>
      </w:tr>
      <w:tr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BARRIERS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Local-content (TKDN) and SOE-teaming expectations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Financing-led procurement — vendor credit expected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Opaque decision cycles; relationship-driven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LOCAL PARTNER ARCHETYPES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State-owned shipyard (mandatory teaming archetype)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Politically connected local agent/integrator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State electronics SOE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B07A00"/>
          <w:sz w:val="15"/>
          <w:szCs w:val="15"/>
        </w:rPr>
        <w:t xml:space="preserve">ENTRY RECOMMENDATION</w:t>
      </w:r>
    </w:p>
    <w:tbl>
      <w:tblPr>
        <w:tblW w:type="pct" w:w="100%"/>
        <w:tblBorders>
          <w:top w:val="none" w:color="FFFFFF" w:sz="0"/>
          <w:left w:val="single" w:color="F2A900" w:sz="2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c>
          <w:tcPr>
            <w:shd w:fill="FBF4E3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i/>
                <w:iCs/>
                <w:color w:val="1A1F26"/>
                <w:sz w:val="20"/>
                <w:szCs w:val="20"/>
              </w:rPr>
              <w:t xml:space="preserve">Patient-capital market: team with a state shipyard on USV patrol economics and bring financing. Avoid leading with sensitive capabilities.</w:t>
            </w:r>
          </w:p>
        </w:tc>
      </w:tr>
    </w:tbl>
    <w:p>
      <w:pPr>
        <w:keepNext/>
        <w:pageBreakBefore/>
        <w:pBdr>
          <w:bottom w:val="single" w:color="F2A900" w:sz="10"/>
        </w:pBdr>
        <w:spacing w:after="60" w:before="0"/>
      </w:pPr>
      <w:r>
        <w:rPr>
          <w:rFonts w:ascii="Segoe UI" w:cs="Segoe UI" w:eastAsia="Segoe UI" w:hAnsi="Segoe UI"/>
          <w:b/>
          <w:bCs/>
          <w:color w:val="12161C"/>
          <w:sz w:val="28"/>
          <w:szCs w:val="28"/>
        </w:rPr>
        <w:t xml:space="preserve">VIETNAM  </w:t>
      </w:r>
      <w:r>
        <w:rPr>
          <w:rFonts w:ascii="Consolas" w:cs="Consolas" w:eastAsia="Consolas" w:hAnsi="Consolas"/>
          <w:color w:val="6B7682"/>
          <w:sz w:val="16"/>
          <w:szCs w:val="16"/>
        </w:rPr>
        <w:t xml:space="preserve">VNM  ·  OVERALL 55/100  ·  RISK 80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C-UAS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USV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ISR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C2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PE</w:t>
            </w:r>
          </w:p>
        </w:tc>
      </w:tr>
      <w:tr>
        <w:tc>
          <w:tcPr>
            <w:shd w:fill="779F4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53</w:t>
            </w:r>
          </w:p>
        </w:tc>
        <w:tc>
          <w:tcPr>
            <w:shd w:fill="99AF3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59</w:t>
            </w:r>
          </w:p>
        </w:tc>
        <w:tc>
          <w:tcPr>
            <w:shd w:fill="ABB13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63</w:t>
            </w:r>
          </w:p>
        </w:tc>
        <w:tc>
          <w:tcPr>
            <w:shd w:fill="61954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49</w:t>
            </w:r>
          </w:p>
        </w:tc>
        <w:tc>
          <w:tcPr>
            <w:shd w:fill="729D4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52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BUDGET TRAJECTORY · US$B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2019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2020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2021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2022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2023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2024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2025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2026</w:t>
            </w:r>
          </w:p>
        </w:tc>
      </w:tr>
      <w:tr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5.52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5.81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6.1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6.42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6.6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7.2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7.46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8</w:t>
            </w:r>
          </w:p>
        </w:tc>
      </w:tr>
    </w:tbl>
    <w:p>
      <w:pPr>
        <w:spacing w:after="60" w:before="50" w:line="264"/>
      </w:pPr>
      <w:r>
        <w:rPr>
          <w:rFonts w:ascii="Segoe UI" w:cs="Segoe UI" w:eastAsia="Segoe UI" w:hAnsi="Segoe UI"/>
          <w:i/>
          <w:iCs/>
          <w:color w:val="4A545F"/>
          <w:sz w:val="17"/>
          <w:szCs w:val="17"/>
        </w:rPr>
        <w:t xml:space="preserve">Opaque budget, steady real growth; diversification away from Russian supply is deliberate but cautious.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KEY PROGRAMS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[ISR] East Sea Surveillance Modernization — Commercial imagery tasking and coastal sensor refresh over contested waters.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[USV] Coastal ISR USV Pilot — Small-batch uncrewed maritime ISR evaluation.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[C-UAS] Strategic Site Air Watch — Point-defense C-UAS evaluation for key facilities.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ENTRY ROUTES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FMS (not applicable) — Politically premature beyond non-lethal categories.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DCS — The realistic route — dual-use and non-lethal first; patience required.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NPOR (not applicable) — Not applicable.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RISK MATRIX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Political/Regulatory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Operational/Logistics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Payment/Offset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Geo-tension</w:t>
            </w:r>
          </w:p>
        </w:tc>
      </w:tr>
      <w:tr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BARRIERS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Non-alignment doctrine limits visible Western deals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Russia-legacy integration and habits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CAATSA shadow over mixed-fleet deals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Slow, opaque decision-making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LOCAL PARTNER ARCHETYPES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Military-owned telecom/industrial group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State maritime services enterprise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Dual-use technology importer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B07A00"/>
          <w:sz w:val="15"/>
          <w:szCs w:val="15"/>
        </w:rPr>
        <w:t xml:space="preserve">ENTRY RECOMMENDATION</w:t>
      </w:r>
    </w:p>
    <w:tbl>
      <w:tblPr>
        <w:tblW w:type="pct" w:w="100%"/>
        <w:tblBorders>
          <w:top w:val="none" w:color="FFFFFF" w:sz="0"/>
          <w:left w:val="single" w:color="F2A900" w:sz="2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c>
          <w:tcPr>
            <w:shd w:fill="FBF4E3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i/>
                <w:iCs/>
                <w:color w:val="1A1F26"/>
                <w:sz w:val="20"/>
                <w:szCs w:val="20"/>
              </w:rPr>
              <w:t xml:space="preserve">Long game via dual-use DCS: maritime ISR services and commercial-derived USVs. Build trust through non-lethal categories before any defense-articles conversation.</w:t>
            </w:r>
          </w:p>
        </w:tc>
      </w:tr>
    </w:tbl>
    <w:p>
      <w:pPr>
        <w:keepNext/>
        <w:pageBreakBefore/>
        <w:pBdr>
          <w:bottom w:val="single" w:color="F2A900" w:sz="10"/>
        </w:pBdr>
        <w:spacing w:after="60" w:before="0"/>
      </w:pPr>
      <w:r>
        <w:rPr>
          <w:rFonts w:ascii="Segoe UI" w:cs="Segoe UI" w:eastAsia="Segoe UI" w:hAnsi="Segoe UI"/>
          <w:b/>
          <w:bCs/>
          <w:color w:val="12161C"/>
          <w:sz w:val="28"/>
          <w:szCs w:val="28"/>
        </w:rPr>
        <w:t xml:space="preserve">MALAYSIA  </w:t>
      </w:r>
      <w:r>
        <w:rPr>
          <w:rFonts w:ascii="Consolas" w:cs="Consolas" w:eastAsia="Consolas" w:hAnsi="Consolas"/>
          <w:color w:val="6B7682"/>
          <w:sz w:val="16"/>
          <w:szCs w:val="16"/>
        </w:rPr>
        <w:t xml:space="preserve">MYS  ·  OVERALL 52/100  ·  RISK 67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C-UAS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USV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ISR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C2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PE</w:t>
            </w:r>
          </w:p>
        </w:tc>
      </w:tr>
      <w:tr>
        <w:tc>
          <w:tcPr>
            <w:shd w:fill="779F4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53</w:t>
            </w:r>
          </w:p>
        </w:tc>
        <w:tc>
          <w:tcPr>
            <w:shd w:fill="83A53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55</w:t>
            </w:r>
          </w:p>
        </w:tc>
        <w:tc>
          <w:tcPr>
            <w:shd w:fill="94AD3C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58</w:t>
            </w:r>
          </w:p>
        </w:tc>
        <w:tc>
          <w:tcPr>
            <w:shd w:fill="67984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50</w:t>
            </w:r>
          </w:p>
        </w:tc>
        <w:tc>
          <w:tcPr>
            <w:shd w:fill="3F854C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43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BUDGET TRAJECTORY · US$B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2019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2020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2021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2022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2023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2024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2025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2026</w:t>
            </w:r>
          </w:p>
        </w:tc>
      </w:tr>
      <w:tr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3.77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3.72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3.93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4.03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4.24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4.45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4.86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5.07</w:t>
            </w:r>
          </w:p>
        </w:tc>
      </w:tr>
    </w:tbl>
    <w:p>
      <w:pPr>
        <w:spacing w:after="60" w:before="50" w:line="264"/>
      </w:pPr>
      <w:r>
        <w:rPr>
          <w:rFonts w:ascii="Segoe UI" w:cs="Segoe UI" w:eastAsia="Segoe UI" w:hAnsi="Segoe UI"/>
          <w:i/>
          <w:iCs/>
          <w:color w:val="4A545F"/>
          <w:sz w:val="17"/>
          <w:szCs w:val="17"/>
        </w:rPr>
        <w:t xml:space="preserve">Modest growth; CAP55 long-range plan is chronically underfunded but South China Sea pressure sustains MDA spending.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KEY PROGRAMS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[ISR] South China Sea MDA Uplift — Surveillance coverage over Luconia and the Sabah/Sarawak EEZ.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[USV] Two-Theater USV Patrol Concept — Uncrewed patrol bridging peninsula and Borneo coverage gaps.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[C-UAS] ESSCOM Aerial Threat Watch — Counter-drone for the Eastern Sabah security zone.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ENTRY ROUTES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FMS — Occasional; not a primary channel.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DCS — Standard route with mandatory local partner and offsets.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NPOR (not applicable) — Not applicable.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RISK MATRIX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Political/Regulatory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Operational/Logistics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Payment/Offset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Geo-tension</w:t>
            </w:r>
          </w:p>
        </w:tc>
      </w:tr>
      <w:tr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BARRIERS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Industrial Collaboration Program (offset) requirements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Bumiputera partner expectations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Budget reliability across political cycles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LOCAL PARTNER ARCHETYPES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Government-linked defense company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Bumiputera technology partner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Regional shipbuilder (Borneo yards)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B07A00"/>
          <w:sz w:val="15"/>
          <w:szCs w:val="15"/>
        </w:rPr>
        <w:t xml:space="preserve">ENTRY RECOMMENDATION</w:t>
      </w:r>
    </w:p>
    <w:tbl>
      <w:tblPr>
        <w:tblW w:type="pct" w:w="100%"/>
        <w:tblBorders>
          <w:top w:val="none" w:color="FFFFFF" w:sz="0"/>
          <w:left w:val="single" w:color="F2A900" w:sz="2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c>
          <w:tcPr>
            <w:shd w:fill="FBF4E3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i/>
                <w:iCs/>
                <w:color w:val="1A1F26"/>
                <w:sz w:val="20"/>
                <w:szCs w:val="20"/>
              </w:rPr>
              <w:t xml:space="preserve">Pair every bid with a government-linked partner and a credible offset story; lead with maritime ISR where SCS pressure keeps budgets honest.</w:t>
            </w:r>
          </w:p>
        </w:tc>
      </w:tr>
    </w:tbl>
    <w:p>
      <w:pPr>
        <w:keepNext/>
        <w:pageBreakBefore/>
        <w:pBdr>
          <w:bottom w:val="single" w:color="F2A900" w:sz="10"/>
        </w:pBdr>
        <w:spacing w:after="60" w:before="0"/>
      </w:pPr>
      <w:r>
        <w:rPr>
          <w:rFonts w:ascii="Segoe UI" w:cs="Segoe UI" w:eastAsia="Segoe UI" w:hAnsi="Segoe UI"/>
          <w:b/>
          <w:bCs/>
          <w:color w:val="12161C"/>
          <w:sz w:val="28"/>
          <w:szCs w:val="28"/>
        </w:rPr>
        <w:t xml:space="preserve">NEW ZEALAND  </w:t>
      </w:r>
      <w:r>
        <w:rPr>
          <w:rFonts w:ascii="Consolas" w:cs="Consolas" w:eastAsia="Consolas" w:hAnsi="Consolas"/>
          <w:color w:val="6B7682"/>
          <w:sz w:val="16"/>
          <w:szCs w:val="16"/>
        </w:rPr>
        <w:t xml:space="preserve">NZL  ·  OVERALL 48/100  ·  RISK 40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C-UAS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USV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ISR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C2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PE</w:t>
            </w:r>
          </w:p>
        </w:tc>
      </w:tr>
      <w:tr>
        <w:tc>
          <w:tcPr>
            <w:shd w:fill="2E7D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40</w:t>
            </w:r>
          </w:p>
        </w:tc>
        <w:tc>
          <w:tcPr>
            <w:shd w:fill="8EAA3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57</w:t>
            </w:r>
          </w:p>
        </w:tc>
        <w:tc>
          <w:tcPr>
            <w:shd w:fill="83A53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55</w:t>
            </w:r>
          </w:p>
        </w:tc>
        <w:tc>
          <w:tcPr>
            <w:shd w:fill="A7B13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62</w:t>
            </w:r>
          </w:p>
        </w:tc>
        <w:tc>
          <w:tcPr>
            <w:shd w:fill="1E5C4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28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BUDGET TRAJECTORY · US$B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2019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2020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2021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2022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2023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2024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2025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2026</w:t>
            </w:r>
          </w:p>
        </w:tc>
      </w:tr>
      <w:tr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2.8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2.93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3.03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3.13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3.33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3.64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4.02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4.36</w:t>
            </w:r>
          </w:p>
        </w:tc>
      </w:tr>
    </w:tbl>
    <w:p>
      <w:pPr>
        <w:spacing w:after="60" w:before="50" w:line="264"/>
      </w:pPr>
      <w:r>
        <w:rPr>
          <w:rFonts w:ascii="Segoe UI" w:cs="Segoe UI" w:eastAsia="Segoe UI" w:hAnsi="Segoe UI"/>
          <w:i/>
          <w:iCs/>
          <w:color w:val="4A545F"/>
          <w:sz w:val="17"/>
          <w:szCs w:val="17"/>
        </w:rPr>
        <w:t xml:space="preserve">Defence Capability Plan 2025 nearly doubles trajectory toward 2% of GDP by early 2030s — small base, real growth.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KEY PROGRAMS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[USV] EEZ Uncrewed Patrol Initiative — Uncrewed surface persistence across the world’s 4th-largest EEZ.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[C2] ANZAC Interoperability Refresh — C2 and secure comms alignment with Australian networks.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[ISR] Southern Ocean Awareness — Long-range maritime ISR including space-based augmentation.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ENTRY ROUTES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FMS — Available; used for P-8 and similar US platforms.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DCS — Open, transparent tendering; small volumes.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NPOR (not applicable) — Not applicable; NSPA sustainment arrangements exist case-by-case.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RISK MATRIX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Political/Regulatory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Operational/Logistics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Payment/Offset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Geo-tension</w:t>
            </w:r>
          </w:p>
        </w:tc>
      </w:tr>
      <w:tr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BARRIERS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Tiny absolute budget — every dollar contested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Nuclear-free policy constrains some cooperation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Capability gaps in absorption/sustainment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LOCAL PARTNER ARCHETYPES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Trans-Tasman integrator (shared AUS footprint)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Crown research institute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Local marine-tech SME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B07A00"/>
          <w:sz w:val="15"/>
          <w:szCs w:val="15"/>
        </w:rPr>
        <w:t xml:space="preserve">ENTRY RECOMMENDATION</w:t>
      </w:r>
    </w:p>
    <w:tbl>
      <w:tblPr>
        <w:tblW w:type="pct" w:w="100%"/>
        <w:tblBorders>
          <w:top w:val="none" w:color="FFFFFF" w:sz="0"/>
          <w:left w:val="single" w:color="F2A900" w:sz="2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c>
          <w:tcPr>
            <w:shd w:fill="FBF4E3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i/>
                <w:iCs/>
                <w:color w:val="1A1F26"/>
                <w:sz w:val="20"/>
                <w:szCs w:val="20"/>
              </w:rPr>
              <w:t xml:space="preserve">Treat as an extension of the Australian play: same USV/ISR offering, trans-Tasman partner, DCP-2025 timing. Low risk, modest ceiling.</w:t>
            </w:r>
          </w:p>
        </w:tc>
      </w:tr>
    </w:tbl>
    <w:p>
      <w:pPr>
        <w:keepNext/>
        <w:pageBreakBefore/>
        <w:pBdr>
          <w:bottom w:val="single" w:color="F2A900" w:sz="10"/>
        </w:pBdr>
        <w:spacing w:after="60" w:before="0"/>
      </w:pPr>
      <w:r>
        <w:rPr>
          <w:rFonts w:ascii="Segoe UI" w:cs="Segoe UI" w:eastAsia="Segoe UI" w:hAnsi="Segoe UI"/>
          <w:b/>
          <w:bCs/>
          <w:color w:val="12161C"/>
          <w:sz w:val="28"/>
          <w:szCs w:val="28"/>
        </w:rPr>
        <w:t xml:space="preserve">THAILAND  </w:t>
      </w:r>
      <w:r>
        <w:rPr>
          <w:rFonts w:ascii="Consolas" w:cs="Consolas" w:eastAsia="Consolas" w:hAnsi="Consolas"/>
          <w:color w:val="6B7682"/>
          <w:sz w:val="16"/>
          <w:szCs w:val="16"/>
        </w:rPr>
        <w:t xml:space="preserve">THA  ·  OVERALL 46/100  ·  RISK 60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C-UAS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USV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ISR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C2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PE</w:t>
            </w:r>
          </w:p>
        </w:tc>
      </w:tr>
      <w:tr>
        <w:tc>
          <w:tcPr>
            <w:shd w:fill="67984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50</w:t>
            </w:r>
          </w:p>
        </w:tc>
        <w:tc>
          <w:tcPr>
            <w:shd w:fill="45884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44</w:t>
            </w:r>
          </w:p>
        </w:tc>
        <w:tc>
          <w:tcPr>
            <w:shd w:fill="779F4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53</w:t>
            </w:r>
          </w:p>
        </w:tc>
        <w:tc>
          <w:tcPr>
            <w:shd w:fill="5B924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48</w:t>
            </w:r>
          </w:p>
        </w:tc>
        <w:tc>
          <w:tcPr>
            <w:shd w:fill="29724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36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BUDGET TRAJECTORY · US$B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2019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2020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2021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2022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2023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2024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2025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2026</w:t>
            </w:r>
          </w:p>
        </w:tc>
      </w:tr>
      <w:tr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6.82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7.13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6.75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6.54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6.43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6.6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6.9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7.33</w:t>
            </w:r>
          </w:p>
        </w:tc>
      </w:tr>
    </w:tbl>
    <w:p>
      <w:pPr>
        <w:spacing w:after="60" w:before="50" w:line="264"/>
      </w:pPr>
      <w:r>
        <w:rPr>
          <w:rFonts w:ascii="Segoe UI" w:cs="Segoe UI" w:eastAsia="Segoe UI" w:hAnsi="Segoe UI"/>
          <w:i/>
          <w:iCs/>
          <w:color w:val="4A545F"/>
          <w:sz w:val="17"/>
          <w:szCs w:val="17"/>
        </w:rPr>
        <w:t xml:space="preserve">Flat-to-soft in real terms; procurement episodic and politically influenced, with Chinese vendors entrenched in several lanes.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KEY PROGRAMS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[ISR] Border Surveillance Refresh — Sensor recapitalization along the Myanmar frontier.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[C-UAS] Critical Site Counter-Drone — Point C-UAS for royal, government, and event sites.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[USV] Gulf Patrol USV Evaluation — Trial program for uncrewed coastal patrol.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ENTRY ROUTES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FMS — Treaty-ally channel exists; competes with Chinese offers on price.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DCS — Common; agent relationships heavily influence outcomes.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NPOR (not applicable) — Not applicable.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RISK MATRIX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Political/Regulatory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Operational/Logistics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Payment/Offset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Geo-tension</w:t>
            </w:r>
          </w:p>
        </w:tc>
      </w:tr>
      <w:tr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BARRIERS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Chinese vendor entrenchment on price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Coup-cycle policy discontinuity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Offset/local-assembly expectations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LOCAL PARTNER ARCHETYPES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Royal-connected industrial group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Defence Technology Institute (state R&amp;D archetype)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Local agent with army relationships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B07A00"/>
          <w:sz w:val="15"/>
          <w:szCs w:val="15"/>
        </w:rPr>
        <w:t xml:space="preserve">ENTRY RECOMMENDATION</w:t>
      </w:r>
    </w:p>
    <w:tbl>
      <w:tblPr>
        <w:tblW w:type="pct" w:w="100%"/>
        <w:tblBorders>
          <w:top w:val="none" w:color="FFFFFF" w:sz="0"/>
          <w:left w:val="single" w:color="F2A900" w:sz="2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c>
          <w:tcPr>
            <w:shd w:fill="FBF4E3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i/>
                <w:iCs/>
                <w:color w:val="1A1F26"/>
                <w:sz w:val="20"/>
                <w:szCs w:val="20"/>
              </w:rPr>
              <w:t xml:space="preserve">Opportunistic market only: respond to specific tenders with a strong local agent rather than building standing presence. Do not anchor regional strategy here.</w:t>
            </w:r>
          </w:p>
        </w:tc>
      </w:tr>
    </w:tbl>
    <w:p>
      <w:pPr>
        <w:keepNext/>
        <w:pageBreakBefore/>
        <w:pBdr>
          <w:bottom w:val="single" w:color="F2A900" w:sz="10"/>
        </w:pBdr>
        <w:spacing w:after="60" w:before="0"/>
      </w:pPr>
      <w:r>
        <w:rPr>
          <w:rFonts w:ascii="Segoe UI" w:cs="Segoe UI" w:eastAsia="Segoe UI" w:hAnsi="Segoe UI"/>
          <w:b/>
          <w:bCs/>
          <w:color w:val="12161C"/>
          <w:sz w:val="28"/>
          <w:szCs w:val="28"/>
        </w:rPr>
        <w:t xml:space="preserve">BRUNEI  </w:t>
      </w:r>
      <w:r>
        <w:rPr>
          <w:rFonts w:ascii="Consolas" w:cs="Consolas" w:eastAsia="Consolas" w:hAnsi="Consolas"/>
          <w:color w:val="6B7682"/>
          <w:sz w:val="16"/>
          <w:szCs w:val="16"/>
        </w:rPr>
        <w:t xml:space="preserve">BRN  ·  OVERALL 34/100  ·  RISK 47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C-UAS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USV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ISR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C2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PE</w:t>
            </w:r>
          </w:p>
        </w:tc>
      </w:tr>
      <w:tr>
        <w:tc>
          <w:tcPr>
            <w:shd w:fill="256A4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33</w:t>
            </w:r>
          </w:p>
        </w:tc>
        <w:tc>
          <w:tcPr>
            <w:shd w:fill="34804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41</w:t>
            </w:r>
          </w:p>
        </w:tc>
        <w:tc>
          <w:tcPr>
            <w:shd w:fill="286F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35</w:t>
            </w:r>
          </w:p>
        </w:tc>
        <w:tc>
          <w:tcPr>
            <w:shd w:fill="2E7D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40</w:t>
            </w:r>
          </w:p>
        </w:tc>
        <w:tc>
          <w:tcPr>
            <w:shd w:fill="14463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20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BUDGET TRAJECTORY · US$B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2019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2020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2021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2022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2023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2024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2025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2026</w:t>
            </w:r>
          </w:p>
        </w:tc>
      </w:tr>
      <w:tr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0.41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0.39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0.42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0.43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0.43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0.45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0.47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0.5</w:t>
            </w:r>
          </w:p>
        </w:tc>
      </w:tr>
    </w:tbl>
    <w:p>
      <w:pPr>
        <w:spacing w:after="60" w:before="50" w:line="264"/>
      </w:pPr>
      <w:r>
        <w:rPr>
          <w:rFonts w:ascii="Segoe UI" w:cs="Segoe UI" w:eastAsia="Segoe UI" w:hAnsi="Segoe UI"/>
          <w:i/>
          <w:iCs/>
          <w:color w:val="4A545F"/>
          <w:sz w:val="17"/>
          <w:szCs w:val="17"/>
        </w:rPr>
        <w:t xml:space="preserve">Stable hydrocarbon-funded budget; small, professional force buying turnkey capability with full support.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KEY PROGRAMS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[USV] Offshore Infrastructure Watch — Uncrewed patrol around hydrocarbon platforms.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[C2] Joint Force C2 Refresh — Turnkey C2 modernization for a compact force.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ENTRY ROUTES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FMS (not applicable) — Rare; UK/regional channels historically preferred.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DCS — Primary route — turnkey with long-term support contracts.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NPOR (not applicable) — Not applicable.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RISK MATRIX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Political/Regulatory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Operational/Logistics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Payment/Offset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Geo-tension</w:t>
            </w:r>
          </w:p>
        </w:tc>
      </w:tr>
      <w:tr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BARRIERS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Tiny market; relationship-gated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Preference for established suppliers with royal trust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Full turnkey support expectations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LOCAL PARTNER ARCHETYPES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Royal-affiliated holding company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Incumbent UK-linked services provider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B07A00"/>
          <w:sz w:val="15"/>
          <w:szCs w:val="15"/>
        </w:rPr>
        <w:t xml:space="preserve">ENTRY RECOMMENDATION</w:t>
      </w:r>
    </w:p>
    <w:tbl>
      <w:tblPr>
        <w:tblW w:type="pct" w:w="100%"/>
        <w:tblBorders>
          <w:top w:val="none" w:color="FFFFFF" w:sz="0"/>
          <w:left w:val="single" w:color="F2A900" w:sz="2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c>
          <w:tcPr>
            <w:shd w:fill="FBF4E3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i/>
                <w:iCs/>
                <w:color w:val="1A1F26"/>
                <w:sz w:val="20"/>
                <w:szCs w:val="20"/>
              </w:rPr>
              <w:t xml:space="preserve">Bundle into a Malaysia/Singapore regional support footprint; pursue only turnkey maritime-security packages with multi-year support attached.</w:t>
            </w:r>
          </w:p>
        </w:tc>
      </w:tr>
    </w:tbl>
    <w:p>
      <w:pPr>
        <w:keepNext/>
        <w:pageBreakBefore/>
        <w:pBdr>
          <w:bottom w:val="single" w:color="F2A900" w:sz="10"/>
        </w:pBdr>
        <w:spacing w:after="60" w:before="0"/>
      </w:pPr>
      <w:r>
        <w:rPr>
          <w:rFonts w:ascii="Segoe UI" w:cs="Segoe UI" w:eastAsia="Segoe UI" w:hAnsi="Segoe UI"/>
          <w:b/>
          <w:bCs/>
          <w:color w:val="12161C"/>
          <w:sz w:val="28"/>
          <w:szCs w:val="28"/>
        </w:rPr>
        <w:t xml:space="preserve">PAPUA NEW GUINEA  </w:t>
      </w:r>
      <w:r>
        <w:rPr>
          <w:rFonts w:ascii="Consolas" w:cs="Consolas" w:eastAsia="Consolas" w:hAnsi="Consolas"/>
          <w:color w:val="6B7682"/>
          <w:sz w:val="16"/>
          <w:szCs w:val="16"/>
        </w:rPr>
        <w:t xml:space="preserve">PNG  ·  OVERALL 31/100  ·  RISK 73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C-UAS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USV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ISR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C2</w:t>
            </w:r>
          </w:p>
        </w:tc>
        <w:tc>
          <w:tcPr>
            <w:shd w:fill="14181F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5"/>
                <w:szCs w:val="15"/>
              </w:rPr>
              <w:t xml:space="preserve">PE</w:t>
            </w:r>
          </w:p>
        </w:tc>
      </w:tr>
      <w:tr>
        <w:tc>
          <w:tcPr>
            <w:shd w:fill="184E3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23</w:t>
            </w:r>
          </w:p>
        </w:tc>
        <w:tc>
          <w:tcPr>
            <w:shd w:fill="2D7A4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39</w:t>
            </w:r>
          </w:p>
        </w:tc>
        <w:tc>
          <w:tcPr>
            <w:shd w:fill="2A754C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37</w:t>
            </w:r>
          </w:p>
        </w:tc>
        <w:tc>
          <w:tcPr>
            <w:shd w:fill="3F854C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43</w:t>
            </w:r>
          </w:p>
        </w:tc>
        <w:tc>
          <w:tcPr>
            <w:shd w:fill="14373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12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BUDGET TRAJECTORY · US$B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2019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2020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2021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2022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2023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2024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2025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4"/>
                <w:szCs w:val="14"/>
              </w:rPr>
              <w:t xml:space="preserve">2026</w:t>
            </w:r>
          </w:p>
        </w:tc>
      </w:tr>
      <w:tr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0.09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0.1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0.1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0.11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0.13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0.15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0.17</w:t>
            </w:r>
          </w:p>
        </w:tc>
        <w:tc>
          <w:tcPr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1A1F26"/>
                <w:sz w:val="16"/>
                <w:szCs w:val="16"/>
              </w:rPr>
              <w:t xml:space="preserve">0.19</w:t>
            </w:r>
          </w:p>
        </w:tc>
      </w:tr>
    </w:tbl>
    <w:p>
      <w:pPr>
        <w:spacing w:after="60" w:before="50" w:line="264"/>
      </w:pPr>
      <w:r>
        <w:rPr>
          <w:rFonts w:ascii="Segoe UI" w:cs="Segoe UI" w:eastAsia="Segoe UI" w:hAnsi="Segoe UI"/>
          <w:i/>
          <w:iCs/>
          <w:color w:val="4A545F"/>
          <w:sz w:val="17"/>
          <w:szCs w:val="17"/>
        </w:rPr>
        <w:t xml:space="preserve">Minimal national budget, but AUS/US security agreements (Lombrum, DCA 2023) bring donor-funded infrastructure and MDA money.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KEY PROGRAMS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[ISR] Donor-Funded EEZ Awareness — Australian/US-financed maritime surveillance capability.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[C2] DCA Communications Uplift — Secure comms infrastructure under the 2023 US agreement.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[USV] Lombrum Uncrewed Patrol Pilot — Small uncrewed presence around the joint naval base.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ENTRY ROUTES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FMS (not applicable) — Not direct; flows via US security assistance.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DCS — Only as subcontractor on donor-funded programs.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8B949E"/>
          <w:sz w:val="19"/>
          <w:szCs w:val="19"/>
        </w:rPr>
        <w:t xml:space="preserve">NPOR (not applicable) — Not applicable.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RISK MATRIX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Political/Regulatory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Operational/Logistics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Payment/Offset</w:t>
            </w:r>
          </w:p>
        </w:tc>
        <w:tc>
          <w:tcPr>
            <w:shd w:fill="14181F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color w:val="FFFFFF"/>
                <w:sz w:val="13"/>
                <w:szCs w:val="13"/>
              </w:rPr>
              <w:t xml:space="preserve">Geo-tension</w:t>
            </w:r>
          </w:p>
        </w:tc>
      </w:tr>
      <w:tr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  <w:tc>
          <w:tcPr>
            <w:shd w:fill="3FB950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LOW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E5484D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5"/>
                <w:szCs w:val="15"/>
              </w:rPr>
              <w:t xml:space="preserve">HIGH</w:t>
            </w:r>
          </w:p>
        </w:tc>
        <w:tc>
          <w:tcPr>
            <w:shd w:fill="E3B341" w:val="clear"/>
            <w:tcMar>
              <w:top w:type="dxa" w:w="25"/>
              <w:left w:type="dxa" w:w="100"/>
              <w:bottom w:type="dxa" w:w="25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5"/>
                <w:szCs w:val="15"/>
              </w:rPr>
              <w:t xml:space="preserve">MED</w:t>
            </w:r>
          </w:p>
        </w:tc>
      </w:tr>
    </w:tbl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BARRIERS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No organic procurement capacity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All meaningful spend is donor-routed (Canberra/Washington decide)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Severe logistics and sustainment environment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6B7682"/>
          <w:sz w:val="15"/>
          <w:szCs w:val="15"/>
        </w:rPr>
        <w:t xml:space="preserve">LOCAL PARTNER ARCHETYPES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Australian managing contractor (donor-program prime)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19"/>
          <w:szCs w:val="19"/>
        </w:rPr>
        <w:t xml:space="preserve">Local logistics/security services firm</w:t>
      </w:r>
    </w:p>
    <w:p>
      <w:pPr>
        <w:keepNext/>
        <w:spacing w:after="40" w:before="180" w:line="264"/>
      </w:pPr>
      <w:r>
        <w:rPr>
          <w:rFonts w:ascii="Consolas" w:cs="Consolas" w:eastAsia="Consolas" w:hAnsi="Consolas"/>
          <w:color w:val="B07A00"/>
          <w:sz w:val="15"/>
          <w:szCs w:val="15"/>
        </w:rPr>
        <w:t xml:space="preserve">ENTRY RECOMMENDATION</w:t>
      </w:r>
    </w:p>
    <w:tbl>
      <w:tblPr>
        <w:tblW w:type="pct" w:w="100%"/>
        <w:tblBorders>
          <w:top w:val="none" w:color="FFFFFF" w:sz="0"/>
          <w:left w:val="single" w:color="F2A900" w:sz="2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c>
          <w:tcPr>
            <w:shd w:fill="FBF4E3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i/>
                <w:iCs/>
                <w:color w:val="1A1F26"/>
                <w:sz w:val="20"/>
                <w:szCs w:val="20"/>
              </w:rPr>
              <w:t xml:space="preserve">Not a direct market: position as capability subcontractor on Australian and US donor programs. Win in Canberra, deliver in Port Moresby.</w:t>
            </w:r>
          </w:p>
        </w:tc>
      </w:tr>
    </w:tbl>
    <w:p>
      <w:pPr>
        <w:pStyle w:val="Heading1"/>
        <w:keepNext/>
        <w:pageBreakBefore/>
        <w:pBdr>
          <w:bottom w:val="single" w:color="F2A900" w:sz="12"/>
        </w:pBdr>
        <w:spacing w:after="80" w:before="120"/>
      </w:pPr>
      <w:r>
        <w:rPr>
          <w:rFonts w:ascii="Segoe UI" w:cs="Segoe UI" w:eastAsia="Segoe UI" w:hAnsi="Segoe UI"/>
          <w:b/>
          <w:bCs/>
          <w:color w:val="12161C"/>
          <w:sz w:val="34"/>
          <w:szCs w:val="34"/>
        </w:rPr>
        <w:t xml:space="preserve">5 · Consolidated Risk Matrix</w:t>
      </w:r>
    </w:p>
    <w:p>
      <w:pPr>
        <w:spacing w:after="120" w:before="60" w:line="264"/>
      </w:pPr>
      <w:r>
        <w:rPr>
          <w:rFonts w:ascii="Segoe UI" w:cs="Segoe UI" w:eastAsia="Segoe UI" w:hAnsi="Segoe UI"/>
          <w:color w:val="1A1F26"/>
          <w:sz w:val="21"/>
          <w:szCs w:val="21"/>
        </w:rPr>
        <w:t xml:space="preserve">Markets ordered by composite risk index (descending). Green = Low, amber = Medium, red = High.</w:t>
      </w:r>
    </w:p>
    <w:tbl>
      <w:tblPr>
        <w:tblW w:type="pct" w:w="100%"/>
        <w:tblBorders>
          <w:top w:val="single" w:color="D5D9DE" w:sz="4"/>
          <w:left w:val="single" w:color="D5D9DE" w:sz="4"/>
          <w:bottom w:val="single" w:color="D5D9DE" w:sz="4"/>
          <w:right w:val="single" w:color="D5D9DE" w:sz="4"/>
          <w:insideH w:val="single" w:color="D5D9DE" w:sz="4"/>
          <w:insideV w:val="single" w:color="D5D9DE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210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6"/>
                <w:szCs w:val="16"/>
              </w:rPr>
              <w:t xml:space="preserve">COUNTRY</w:t>
            </w:r>
          </w:p>
        </w:tc>
        <w:tc>
          <w:tcPr>
            <w:tcW w:type="dxa" w:w="145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3"/>
                <w:szCs w:val="13"/>
              </w:rPr>
              <w:t xml:space="preserve">POLITICAL / REGULATORY</w:t>
            </w:r>
          </w:p>
        </w:tc>
        <w:tc>
          <w:tcPr>
            <w:tcW w:type="dxa" w:w="145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3"/>
                <w:szCs w:val="13"/>
              </w:rPr>
              <w:t xml:space="preserve">COMPETITIVE SATURATION</w:t>
            </w:r>
          </w:p>
        </w:tc>
        <w:tc>
          <w:tcPr>
            <w:tcW w:type="dxa" w:w="145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3"/>
                <w:szCs w:val="13"/>
              </w:rPr>
              <w:t xml:space="preserve">OPERATIONAL / LOGISTICS</w:t>
            </w:r>
          </w:p>
        </w:tc>
        <w:tc>
          <w:tcPr>
            <w:tcW w:type="dxa" w:w="145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3"/>
                <w:szCs w:val="13"/>
              </w:rPr>
              <w:t xml:space="preserve">PAYMENT / OFFSET</w:t>
            </w:r>
          </w:p>
        </w:tc>
        <w:tc>
          <w:tcPr>
            <w:tcW w:type="dxa" w:w="145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3"/>
                <w:szCs w:val="13"/>
              </w:rPr>
              <w:t xml:space="preserve">GEO-TENSION</w:t>
            </w:r>
          </w:p>
        </w:tc>
        <w:tc>
          <w:tcPr>
            <w:tcW w:type="dxa" w:w="950"/>
            <w:shd w:fill="14181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2A900"/>
                <w:sz w:val="14"/>
                <w:szCs w:val="14"/>
              </w:rPr>
              <w:t xml:space="preserve">INDEX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8"/>
                <w:szCs w:val="18"/>
              </w:rPr>
              <w:t xml:space="preserve">Philippines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ED871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87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8"/>
                <w:szCs w:val="18"/>
              </w:rPr>
              <w:t xml:space="preserve">India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D871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87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8"/>
                <w:szCs w:val="18"/>
              </w:rPr>
              <w:t xml:space="preserve">Taiwan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F2A90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8"/>
                <w:szCs w:val="18"/>
              </w:rPr>
              <w:t xml:space="preserve">Indonesia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F2A90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8"/>
                <w:szCs w:val="18"/>
              </w:rPr>
              <w:t xml:space="preserve">Vietnam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F2A90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80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8"/>
                <w:szCs w:val="18"/>
              </w:rPr>
              <w:t xml:space="preserve">South Korea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D5AC1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73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8"/>
                <w:szCs w:val="18"/>
              </w:rPr>
              <w:t xml:space="preserve">Papua New Guinea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D5AC1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73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8"/>
                <w:szCs w:val="18"/>
              </w:rPr>
              <w:t xml:space="preserve">Malaysia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BCAF2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67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8"/>
                <w:szCs w:val="18"/>
              </w:rPr>
              <w:t xml:space="preserve">Japan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9FB23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8"/>
                <w:szCs w:val="18"/>
              </w:rPr>
              <w:t xml:space="preserve">Thailand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9FB23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9"/>
                <w:szCs w:val="19"/>
              </w:rPr>
              <w:t xml:space="preserve">60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8"/>
                <w:szCs w:val="18"/>
              </w:rPr>
              <w:t xml:space="preserve">Australia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56904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47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8"/>
                <w:szCs w:val="18"/>
              </w:rPr>
              <w:t xml:space="preserve">Singapore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E5484D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HIGH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56904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47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8"/>
                <w:szCs w:val="18"/>
              </w:rPr>
              <w:t xml:space="preserve">Brunei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56904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47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1A1F26"/>
                <w:sz w:val="18"/>
                <w:szCs w:val="18"/>
              </w:rPr>
              <w:t xml:space="preserve">New Zealand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E3B341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A0C0F"/>
                <w:sz w:val="14"/>
                <w:szCs w:val="14"/>
              </w:rPr>
              <w:t xml:space="preserve">MED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3FB950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4"/>
                <w:szCs w:val="14"/>
              </w:rPr>
              <w:t xml:space="preserve">LOW</w:t>
            </w:r>
          </w:p>
        </w:tc>
        <w:tc>
          <w:tcPr>
            <w:shd w:fill="2E7D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FFFFFF"/>
                <w:sz w:val="19"/>
                <w:szCs w:val="19"/>
              </w:rPr>
              <w:t xml:space="preserve">40</w:t>
            </w:r>
          </w:p>
        </w:tc>
      </w:tr>
    </w:tbl>
    <w:p>
      <w:pPr>
        <w:pStyle w:val="Heading1"/>
        <w:keepNext/>
        <w:pageBreakBefore/>
        <w:pBdr>
          <w:bottom w:val="single" w:color="F2A900" w:sz="12"/>
        </w:pBdr>
        <w:spacing w:after="80" w:before="120"/>
      </w:pPr>
      <w:r>
        <w:rPr>
          <w:rFonts w:ascii="Segoe UI" w:cs="Segoe UI" w:eastAsia="Segoe UI" w:hAnsi="Segoe UI"/>
          <w:b/>
          <w:bCs/>
          <w:color w:val="12161C"/>
          <w:sz w:val="34"/>
          <w:szCs w:val="34"/>
        </w:rPr>
        <w:t xml:space="preserve">6 · Entry-Strategy Recommendation</w:t>
      </w:r>
    </w:p>
    <w:p>
      <w:pPr>
        <w:spacing w:after="100" w:before="60" w:line="264"/>
      </w:pPr>
      <w:r>
        <w:rPr>
          <w:rFonts w:ascii="Segoe UI" w:cs="Segoe UI" w:eastAsia="Segoe UI" w:hAnsi="Segoe UI"/>
          <w:color w:val="1A1F26"/>
          <w:sz w:val="21"/>
          <w:szCs w:val="21"/>
        </w:rPr>
        <w:t xml:space="preserve">Sequenced three-wave posture, balancing demand heat against entry friction:</w:t>
      </w:r>
    </w:p>
    <w:p>
      <w:pPr>
        <w:pStyle w:val="Heading2"/>
        <w:keepNext/>
        <w:spacing w:after="60" w:before="220"/>
      </w:pPr>
      <w:r>
        <w:rPr>
          <w:rFonts w:ascii="Segoe UI" w:cs="Segoe UI" w:eastAsia="Segoe UI" w:hAnsi="Segoe UI"/>
          <w:b/>
          <w:bCs/>
          <w:color w:val="12161C"/>
          <w:sz w:val="25"/>
          <w:szCs w:val="25"/>
        </w:rPr>
        <w:t xml:space="preserve">Wave 1 (0–12 months) — Beachhead: Australia + Singapore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20"/>
          <w:szCs w:val="20"/>
        </w:rPr>
        <w:t xml:space="preserve">Australia: team with a sovereign autonomy prime on maritime-autonomy and AUKUS Pillar 2 experimentation; use DCS/ASDEFCON contracting. Establish an Australian entity early to satisfy AIC expectations.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20"/>
          <w:szCs w:val="20"/>
        </w:rPr>
        <w:t xml:space="preserve">Singapore: enter a DSTA evaluation with C-UAS or resilient-C2 technology. Treat the evaluation win — not revenue — as the deliverable; it is the reference asset for every subsequent ASEAN pursuit.</w:t>
      </w:r>
    </w:p>
    <w:p>
      <w:pPr>
        <w:pStyle w:val="Heading2"/>
        <w:keepNext/>
        <w:spacing w:after="60" w:before="220"/>
      </w:pPr>
      <w:r>
        <w:rPr>
          <w:rFonts w:ascii="Segoe UI" w:cs="Segoe UI" w:eastAsia="Segoe UI" w:hAnsi="Segoe UI"/>
          <w:b/>
          <w:bCs/>
          <w:color w:val="12161C"/>
          <w:sz w:val="25"/>
          <w:szCs w:val="25"/>
        </w:rPr>
        <w:t xml:space="preserve">Wave 2 (12–30 months) — Scale: Japan, South Korea, Taiwan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20"/>
          <w:szCs w:val="20"/>
        </w:rPr>
        <w:t xml:space="preserve">Japan: FMS-adjacent teaming with a heavy-industry prime; lead with precision-effects enablers and ISR downlink where buildup budgets move fastest.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20"/>
          <w:szCs w:val="20"/>
        </w:rPr>
        <w:t xml:space="preserve">South Korea: subsystem-supplier posture into chaebol primes; lead with counter-swarm C-UAS, the gap domestic industry concedes.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20"/>
          <w:szCs w:val="20"/>
        </w:rPr>
        <w:t xml:space="preserve">Taiwan: pursue via DCS with license-resilient, non-ITAR content; size exposure assuming delivery and escalation risk. Highest demand, highest variance.</w:t>
      </w:r>
    </w:p>
    <w:p>
      <w:pPr>
        <w:pStyle w:val="Heading2"/>
        <w:keepNext/>
        <w:spacing w:after="60" w:before="220"/>
      </w:pPr>
      <w:r>
        <w:rPr>
          <w:rFonts w:ascii="Segoe UI" w:cs="Segoe UI" w:eastAsia="Segoe UI" w:hAnsi="Segoe UI"/>
          <w:b/>
          <w:bCs/>
          <w:color w:val="12161C"/>
          <w:sz w:val="25"/>
          <w:szCs w:val="25"/>
        </w:rPr>
        <w:t xml:space="preserve">Wave 3 (30+ months) — Optionality: India, Philippines, ASEAN south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20"/>
          <w:szCs w:val="20"/>
        </w:rPr>
        <w:t xml:space="preserve">India: only via a Make-in-India JV with a private conglomerate; budget 24–36 months to first revenue and protect IP contractually before any technology demonstration.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20"/>
          <w:szCs w:val="20"/>
        </w:rPr>
        <w:t xml:space="preserve">Philippines: price for FMF/security-assistance financing, never national-budget payment risk; anchor sustainment locally.</w:t>
      </w:r>
    </w:p>
    <w:p>
      <w:pPr>
        <w:pStyle w:val="ListParagraph"/>
        <w:numPr>
          <w:ilvl w:val="0"/>
          <w:numId w:val="1"/>
        </w:numPr>
        <w:spacing w:after="30" w:before="30" w:line="264"/>
      </w:pPr>
      <w:r>
        <w:rPr>
          <w:rFonts w:ascii="Segoe UI" w:cs="Segoe UI" w:eastAsia="Segoe UI" w:hAnsi="Segoe UI"/>
          <w:color w:val="1A1F26"/>
          <w:sz w:val="20"/>
          <w:szCs w:val="20"/>
        </w:rPr>
        <w:t xml:space="preserve">Indonesia / Vietnam / Malaysia / Thailand: opportunistic, partner-led, financing-aware. Brunei and PNG: bundle into regional support footprints and donor programs respectively.</w:t>
      </w:r>
    </w:p>
    <w:p>
      <w:pPr>
        <w:spacing w:after="60" w:before="200" w:line="264"/>
      </w:pPr>
      <w:r>
        <w:rPr>
          <w:rFonts w:ascii="Segoe UI" w:cs="Segoe UI" w:eastAsia="Segoe UI" w:hAnsi="Segoe UI"/>
          <w:b/>
          <w:bCs/>
          <w:color w:val="1A1F26"/>
          <w:sz w:val="21"/>
          <w:szCs w:val="21"/>
        </w:rPr>
        <w:t xml:space="preserve">Bottom line: lead with maritime autonomy in Canberra and C-UAS everywhere else; win one disciplined evaluation (Singapore) and one coalition experiment (AUKUS P2) inside 12 months, then convert first-island-chain demand from a position of demonstrated regional presence.</w:t>
      </w:r>
    </w:p>
    <w:sectPr>
      <w:headerReference w:type="default" r:id="rId7"/>
      <w:footerReference w:type="default" r:id="rId8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onsolas" w:cs="Consolas" w:eastAsia="Consolas" w:hAnsi="Consolas"/>
        <w:color w:val="8B949E"/>
        <w:sz w:val="12"/>
        <w:szCs w:val="12"/>
      </w:rPr>
      <w:t xml:space="preserve">THE GIDEON CORP. · COUNTRY DEMAND STUDY · SYNTHETIC DEMONSTRATION DATA · 2026-06-12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center"/>
    </w:pPr>
    <w:r>
      <w:rPr>
        <w:rFonts w:ascii="Consolas" w:cs="Consolas" w:eastAsia="Consolas" w:hAnsi="Consolas"/>
        <w:color w:val="B07A00"/>
        <w:sz w:val="14"/>
        <w:szCs w:val="14"/>
      </w:rPr>
      <w:t xml:space="preserve">UNCLASSIFIED // FOR DEMONSTRATION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1A1F26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6eb57e46ee42b28f880fa3c569d28bb07f69364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Country Demand Study — Indo-Pacific</dc:title>
  <dc:creator>The Gideon Corp.</dc:creator>
  <dc:description>Synthetic demonstration market study</dc:description>
  <cp:lastModifiedBy>Un-named</cp:lastModifiedBy>
  <cp:revision>1</cp:revision>
  <dcterms:created xsi:type="dcterms:W3CDTF">2026-06-15T16:13:37.475Z</dcterms:created>
  <dcterms:modified xsi:type="dcterms:W3CDTF">2026-06-15T16:13:37.476Z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